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5BDA6" w14:textId="4EF98961" w:rsidR="00A3597E" w:rsidRPr="00A06DF3" w:rsidRDefault="00A3597E" w:rsidP="00764560">
      <w:pPr>
        <w:pStyle w:val="Heading1"/>
        <w:spacing w:before="0" w:line="240" w:lineRule="auto"/>
        <w:jc w:val="both"/>
        <w:rPr>
          <w:rFonts w:ascii="Arial" w:hAnsi="Arial" w:cs="Arial"/>
          <w:b/>
          <w:bCs/>
          <w:sz w:val="28"/>
          <w:szCs w:val="28"/>
        </w:rPr>
      </w:pPr>
      <w:r w:rsidRPr="00A06DF3">
        <w:rPr>
          <w:rFonts w:ascii="Arial" w:hAnsi="Arial" w:cs="Arial"/>
          <w:b/>
          <w:bCs/>
          <w:sz w:val="28"/>
          <w:szCs w:val="28"/>
        </w:rPr>
        <w:t>Gender Pay Gap Report</w:t>
      </w:r>
    </w:p>
    <w:p w14:paraId="5F895660" w14:textId="6A092C06" w:rsidR="00A3597E" w:rsidRPr="00A06DF3" w:rsidRDefault="00472D9A" w:rsidP="00764560">
      <w:pPr>
        <w:pStyle w:val="Heading2"/>
        <w:spacing w:before="0" w:line="240" w:lineRule="auto"/>
        <w:jc w:val="both"/>
        <w:rPr>
          <w:rFonts w:ascii="Arial" w:eastAsiaTheme="minorHAnsi" w:hAnsi="Arial" w:cs="Arial"/>
          <w:b/>
          <w:bCs/>
          <w:color w:val="auto"/>
          <w:sz w:val="24"/>
          <w:szCs w:val="24"/>
        </w:rPr>
      </w:pPr>
      <w:r>
        <w:rPr>
          <w:rFonts w:ascii="Arial" w:eastAsiaTheme="minorHAnsi" w:hAnsi="Arial" w:cs="Arial"/>
          <w:b/>
          <w:bCs/>
          <w:color w:val="auto"/>
          <w:sz w:val="24"/>
          <w:szCs w:val="24"/>
        </w:rPr>
        <w:t>Issued</w:t>
      </w:r>
      <w:r w:rsidR="00A3597E" w:rsidRPr="00A06DF3">
        <w:rPr>
          <w:rFonts w:ascii="Arial" w:eastAsiaTheme="minorHAnsi" w:hAnsi="Arial" w:cs="Arial"/>
          <w:b/>
          <w:bCs/>
          <w:color w:val="auto"/>
          <w:sz w:val="24"/>
          <w:szCs w:val="24"/>
        </w:rPr>
        <w:t>: April 202</w:t>
      </w:r>
      <w:r>
        <w:rPr>
          <w:rFonts w:ascii="Arial" w:eastAsiaTheme="minorHAnsi" w:hAnsi="Arial" w:cs="Arial"/>
          <w:b/>
          <w:bCs/>
          <w:color w:val="auto"/>
          <w:sz w:val="24"/>
          <w:szCs w:val="24"/>
        </w:rPr>
        <w:t>6</w:t>
      </w:r>
    </w:p>
    <w:p w14:paraId="4F656E3F" w14:textId="3FD6439E" w:rsidR="000942B8" w:rsidRDefault="000942B8" w:rsidP="00764560">
      <w:pPr>
        <w:pStyle w:val="Heading2"/>
        <w:spacing w:before="0" w:line="240" w:lineRule="auto"/>
        <w:jc w:val="both"/>
        <w:rPr>
          <w:rFonts w:ascii="Arial" w:eastAsiaTheme="minorHAnsi" w:hAnsi="Arial" w:cs="Arial"/>
          <w:b/>
          <w:bCs/>
          <w:color w:val="auto"/>
          <w:sz w:val="24"/>
          <w:szCs w:val="24"/>
        </w:rPr>
      </w:pPr>
    </w:p>
    <w:p w14:paraId="1D822C59" w14:textId="77777777" w:rsidR="00A3597E" w:rsidRPr="00A06DF3" w:rsidRDefault="00A3597E" w:rsidP="00764560">
      <w:pPr>
        <w:pStyle w:val="Heading1"/>
        <w:jc w:val="both"/>
        <w:rPr>
          <w:rFonts w:ascii="Arial" w:hAnsi="Arial" w:cs="Arial"/>
          <w:b/>
          <w:bCs/>
          <w:sz w:val="28"/>
          <w:szCs w:val="28"/>
        </w:rPr>
      </w:pPr>
      <w:r w:rsidRPr="00A06DF3">
        <w:rPr>
          <w:rFonts w:ascii="Arial" w:hAnsi="Arial" w:cs="Arial"/>
          <w:b/>
          <w:bCs/>
          <w:sz w:val="28"/>
          <w:szCs w:val="28"/>
        </w:rPr>
        <w:t>1. Introduction</w:t>
      </w:r>
    </w:p>
    <w:p w14:paraId="2C6F7459" w14:textId="3E85D4C8" w:rsidR="000251C0" w:rsidRPr="000251C0" w:rsidRDefault="000251C0" w:rsidP="00764560">
      <w:pPr>
        <w:jc w:val="both"/>
        <w:rPr>
          <w:rFonts w:ascii="Arial" w:hAnsi="Arial" w:cs="Arial"/>
        </w:rPr>
      </w:pPr>
      <w:r w:rsidRPr="000251C0">
        <w:rPr>
          <w:rFonts w:ascii="Arial" w:hAnsi="Arial" w:cs="Arial"/>
        </w:rPr>
        <w:t xml:space="preserve">Partners for Inclusion (PFI) is required to publish annual gender pay gap information under the Equality Act 2010 (Specific Duties and Public Authorities) Regulations 2017. This report presents our gender pay gap data based on the statutory snapshot </w:t>
      </w:r>
      <w:r w:rsidR="00735F21">
        <w:rPr>
          <w:rFonts w:ascii="Arial" w:hAnsi="Arial" w:cs="Arial"/>
        </w:rPr>
        <w:t xml:space="preserve">month </w:t>
      </w:r>
      <w:r w:rsidR="00B44A75" w:rsidRPr="000251C0">
        <w:rPr>
          <w:rFonts w:ascii="Arial" w:hAnsi="Arial" w:cs="Arial"/>
        </w:rPr>
        <w:t xml:space="preserve">of </w:t>
      </w:r>
      <w:r w:rsidR="00B44A75">
        <w:rPr>
          <w:rFonts w:ascii="Arial" w:hAnsi="Arial" w:cs="Arial"/>
        </w:rPr>
        <w:t>April</w:t>
      </w:r>
      <w:r w:rsidRPr="000251C0">
        <w:rPr>
          <w:rFonts w:ascii="Arial" w:hAnsi="Arial" w:cs="Arial"/>
        </w:rPr>
        <w:t xml:space="preserve"> 2025, covering 309 employees across the organisation.</w:t>
      </w:r>
    </w:p>
    <w:p w14:paraId="39A00598" w14:textId="39130BCA" w:rsidR="000251C0" w:rsidRDefault="000251C0" w:rsidP="00764560">
      <w:pPr>
        <w:jc w:val="both"/>
        <w:rPr>
          <w:rFonts w:ascii="Arial" w:hAnsi="Arial" w:cs="Arial"/>
        </w:rPr>
      </w:pPr>
      <w:r w:rsidRPr="000251C0">
        <w:rPr>
          <w:rFonts w:ascii="Arial" w:hAnsi="Arial" w:cs="Arial"/>
        </w:rPr>
        <w:t xml:space="preserve">The gender pay gap measures the difference in average hourly pay between all men and all women in the workforce, regardless of role. This is different from equal pay, which concerns men and women being paid the same for performing equal or similar work. </w:t>
      </w:r>
      <w:r w:rsidR="00B15CC2">
        <w:rPr>
          <w:rFonts w:ascii="Arial" w:hAnsi="Arial" w:cs="Arial"/>
        </w:rPr>
        <w:t xml:space="preserve"> </w:t>
      </w:r>
      <w:r w:rsidRPr="000251C0">
        <w:rPr>
          <w:rFonts w:ascii="Arial" w:hAnsi="Arial" w:cs="Arial"/>
        </w:rPr>
        <w:t>PFI remains committed to transparency, fairness and ensuring that our approach to pay refle</w:t>
      </w:r>
      <w:r w:rsidR="00791F58">
        <w:rPr>
          <w:rFonts w:ascii="Arial" w:hAnsi="Arial" w:cs="Arial"/>
        </w:rPr>
        <w:t>c</w:t>
      </w:r>
      <w:r w:rsidRPr="000251C0">
        <w:rPr>
          <w:rFonts w:ascii="Arial" w:hAnsi="Arial" w:cs="Arial"/>
        </w:rPr>
        <w:t>ts our person</w:t>
      </w:r>
      <w:r w:rsidRPr="000251C0">
        <w:rPr>
          <w:rFonts w:ascii="Cambria Math" w:hAnsi="Cambria Math" w:cs="Cambria Math"/>
        </w:rPr>
        <w:t>‑</w:t>
      </w:r>
      <w:r w:rsidRPr="000251C0">
        <w:rPr>
          <w:rFonts w:ascii="Arial" w:hAnsi="Arial" w:cs="Arial"/>
        </w:rPr>
        <w:t>centred values and the essential work carried out across our services.</w:t>
      </w:r>
    </w:p>
    <w:p w14:paraId="42C7C57C" w14:textId="42F30EDD" w:rsidR="00A3597E" w:rsidRPr="00A06DF3" w:rsidRDefault="00A3597E" w:rsidP="00764560">
      <w:pPr>
        <w:pStyle w:val="Heading1"/>
        <w:jc w:val="both"/>
        <w:rPr>
          <w:rFonts w:ascii="Arial" w:hAnsi="Arial" w:cs="Arial"/>
          <w:b/>
          <w:bCs/>
          <w:sz w:val="28"/>
          <w:szCs w:val="28"/>
        </w:rPr>
      </w:pPr>
      <w:r w:rsidRPr="00A06DF3">
        <w:rPr>
          <w:rFonts w:ascii="Arial" w:hAnsi="Arial" w:cs="Arial"/>
          <w:b/>
          <w:bCs/>
          <w:sz w:val="28"/>
          <w:szCs w:val="28"/>
        </w:rPr>
        <w:t>2. Pay</w:t>
      </w:r>
      <w:r w:rsidR="00A96B6D">
        <w:rPr>
          <w:rFonts w:ascii="Arial" w:hAnsi="Arial" w:cs="Arial"/>
          <w:b/>
          <w:bCs/>
          <w:sz w:val="28"/>
          <w:szCs w:val="28"/>
        </w:rPr>
        <w:t xml:space="preserve"> Gap</w:t>
      </w:r>
      <w:r w:rsidRPr="00A06DF3">
        <w:rPr>
          <w:rFonts w:ascii="Arial" w:hAnsi="Arial" w:cs="Arial"/>
          <w:b/>
          <w:bCs/>
          <w:sz w:val="28"/>
          <w:szCs w:val="28"/>
        </w:rPr>
        <w:t xml:space="preserve"> Result</w:t>
      </w:r>
    </w:p>
    <w:p w14:paraId="1F9D5DD4" w14:textId="62F3DEA9" w:rsidR="00C77BEA" w:rsidRPr="00B16D5A" w:rsidRDefault="00A3597E" w:rsidP="00711BF7">
      <w:pPr>
        <w:jc w:val="both"/>
        <w:rPr>
          <w:rFonts w:ascii="Arial" w:hAnsi="Arial" w:cs="Arial"/>
        </w:rPr>
      </w:pPr>
      <w:r w:rsidRPr="00B16D5A">
        <w:rPr>
          <w:rFonts w:ascii="Arial" w:hAnsi="Arial" w:cs="Arial"/>
        </w:rPr>
        <w:t xml:space="preserve">Two measures are required under the regulations: the mean (average) and the median (middle) hourly pay gap. </w:t>
      </w:r>
      <w:r w:rsidR="004D0671">
        <w:rPr>
          <w:rFonts w:ascii="Arial" w:hAnsi="Arial" w:cs="Arial"/>
        </w:rPr>
        <w:t xml:space="preserve"> </w:t>
      </w:r>
      <w:r w:rsidRPr="00B16D5A">
        <w:rPr>
          <w:rFonts w:ascii="Arial" w:hAnsi="Arial" w:cs="Arial"/>
        </w:rPr>
        <w:t>These figures summarise overall gender pay equality and reflect the structure of PFI’s workforce.</w:t>
      </w:r>
      <w:r w:rsidR="00C77BEA" w:rsidRPr="00B16D5A">
        <w:rPr>
          <w:rFonts w:ascii="Arial" w:hAnsi="Arial" w:cs="Arial"/>
        </w:rPr>
        <w:fldChar w:fldCharType="begin"/>
      </w:r>
      <w:r w:rsidR="00C77BEA" w:rsidRPr="00B16D5A">
        <w:rPr>
          <w:rFonts w:ascii="Arial" w:hAnsi="Arial" w:cs="Arial"/>
        </w:rPr>
        <w:instrText xml:space="preserve"> LINK </w:instrText>
      </w:r>
      <w:r w:rsidR="00BC0F7F" w:rsidRPr="00B16D5A">
        <w:rPr>
          <w:rFonts w:ascii="Arial" w:hAnsi="Arial" w:cs="Arial"/>
        </w:rPr>
        <w:instrText xml:space="preserve">Excel.Sheet.12 "https://partnersforinclusion.sharepoint.com/sites/FinanceandPeople-Finance/Shared Documents/Finance/PFI 2025-2026/Gender Pay Gap 2025-2026/Gross To Net April 2025.xlsx" Calculation!R16C9:R18C14 </w:instrText>
      </w:r>
      <w:r w:rsidR="00C77BEA" w:rsidRPr="00B16D5A">
        <w:rPr>
          <w:rFonts w:ascii="Arial" w:hAnsi="Arial" w:cs="Arial"/>
        </w:rPr>
        <w:instrText xml:space="preserve">\a \f 4 \h </w:instrText>
      </w:r>
      <w:bookmarkStart w:id="0" w:name="_1836114341"/>
      <w:bookmarkEnd w:id="0"/>
      <w:r w:rsidR="00B16D5A">
        <w:rPr>
          <w:rFonts w:ascii="Arial" w:hAnsi="Arial" w:cs="Arial"/>
        </w:rPr>
        <w:instrText xml:space="preserve"> \* MERGEFORMAT </w:instrText>
      </w:r>
      <w:r w:rsidR="00C77BEA" w:rsidRPr="00B16D5A">
        <w:rPr>
          <w:rFonts w:ascii="Arial" w:hAnsi="Arial" w:cs="Arial"/>
        </w:rPr>
        <w:fldChar w:fldCharType="separate"/>
      </w:r>
      <w:bookmarkStart w:id="1" w:name="_1836115633"/>
      <w:bookmarkEnd w:id="1"/>
    </w:p>
    <w:tbl>
      <w:tblPr>
        <w:tblW w:w="4800" w:type="dxa"/>
        <w:tblInd w:w="1695" w:type="dxa"/>
        <w:tblLook w:val="04A0" w:firstRow="1" w:lastRow="0" w:firstColumn="1" w:lastColumn="0" w:noHBand="0" w:noVBand="1"/>
      </w:tblPr>
      <w:tblGrid>
        <w:gridCol w:w="1120"/>
        <w:gridCol w:w="400"/>
        <w:gridCol w:w="400"/>
        <w:gridCol w:w="280"/>
        <w:gridCol w:w="1300"/>
        <w:gridCol w:w="1300"/>
      </w:tblGrid>
      <w:tr w:rsidR="00C77BEA" w:rsidRPr="00DE37A1" w14:paraId="72C3F81D" w14:textId="77777777" w:rsidTr="005D1499">
        <w:trPr>
          <w:trHeight w:val="300"/>
        </w:trPr>
        <w:tc>
          <w:tcPr>
            <w:tcW w:w="1120" w:type="dxa"/>
            <w:tcBorders>
              <w:top w:val="nil"/>
              <w:left w:val="nil"/>
              <w:bottom w:val="nil"/>
              <w:right w:val="nil"/>
            </w:tcBorders>
            <w:noWrap/>
            <w:vAlign w:val="bottom"/>
            <w:hideMark/>
          </w:tcPr>
          <w:p w14:paraId="1581AD1D" w14:textId="014A6F52" w:rsidR="00C77BEA" w:rsidRPr="00DE37A1" w:rsidRDefault="00C77BEA" w:rsidP="00764560">
            <w:pPr>
              <w:spacing w:after="0" w:line="240" w:lineRule="auto"/>
              <w:jc w:val="both"/>
              <w:rPr>
                <w:rFonts w:ascii="Arial" w:eastAsia="Times New Roman" w:hAnsi="Arial" w:cs="Arial"/>
                <w:b/>
                <w:bCs/>
                <w:kern w:val="0"/>
                <w:lang w:eastAsia="en-GB"/>
                <w14:ligatures w14:val="none"/>
              </w:rPr>
            </w:pPr>
          </w:p>
        </w:tc>
        <w:tc>
          <w:tcPr>
            <w:tcW w:w="400" w:type="dxa"/>
            <w:tcBorders>
              <w:top w:val="nil"/>
              <w:left w:val="nil"/>
              <w:bottom w:val="nil"/>
              <w:right w:val="nil"/>
            </w:tcBorders>
            <w:noWrap/>
            <w:vAlign w:val="bottom"/>
            <w:hideMark/>
          </w:tcPr>
          <w:p w14:paraId="2ADAED8E" w14:textId="77777777" w:rsidR="00C77BEA" w:rsidRPr="00DE37A1" w:rsidRDefault="00C77BEA" w:rsidP="00764560">
            <w:pPr>
              <w:spacing w:after="0" w:line="240" w:lineRule="auto"/>
              <w:jc w:val="both"/>
              <w:rPr>
                <w:rFonts w:ascii="Arial" w:eastAsia="Times New Roman" w:hAnsi="Arial" w:cs="Arial"/>
                <w:b/>
                <w:bCs/>
                <w:kern w:val="0"/>
                <w:sz w:val="20"/>
                <w:szCs w:val="20"/>
                <w:lang w:eastAsia="en-GB"/>
                <w14:ligatures w14:val="none"/>
              </w:rPr>
            </w:pPr>
          </w:p>
        </w:tc>
        <w:tc>
          <w:tcPr>
            <w:tcW w:w="400" w:type="dxa"/>
            <w:tcBorders>
              <w:top w:val="nil"/>
              <w:left w:val="nil"/>
              <w:bottom w:val="nil"/>
              <w:right w:val="nil"/>
            </w:tcBorders>
            <w:noWrap/>
            <w:vAlign w:val="bottom"/>
            <w:hideMark/>
          </w:tcPr>
          <w:p w14:paraId="2BD82705" w14:textId="77777777" w:rsidR="00C77BEA" w:rsidRPr="00DE37A1" w:rsidRDefault="00C77BEA" w:rsidP="00764560">
            <w:pPr>
              <w:spacing w:after="0" w:line="240" w:lineRule="auto"/>
              <w:jc w:val="both"/>
              <w:rPr>
                <w:rFonts w:ascii="Arial" w:eastAsia="Times New Roman" w:hAnsi="Arial" w:cs="Arial"/>
                <w:b/>
                <w:bCs/>
                <w:kern w:val="0"/>
                <w:sz w:val="20"/>
                <w:szCs w:val="20"/>
                <w:lang w:eastAsia="en-GB"/>
                <w14:ligatures w14:val="none"/>
              </w:rPr>
            </w:pPr>
          </w:p>
        </w:tc>
        <w:tc>
          <w:tcPr>
            <w:tcW w:w="280" w:type="dxa"/>
            <w:tcBorders>
              <w:top w:val="nil"/>
              <w:left w:val="nil"/>
              <w:bottom w:val="nil"/>
              <w:right w:val="nil"/>
            </w:tcBorders>
            <w:noWrap/>
            <w:vAlign w:val="bottom"/>
            <w:hideMark/>
          </w:tcPr>
          <w:p w14:paraId="1E5DBAC4" w14:textId="77777777" w:rsidR="00C77BEA" w:rsidRPr="00DE37A1" w:rsidRDefault="00C77BEA" w:rsidP="00764560">
            <w:pPr>
              <w:spacing w:after="0" w:line="240" w:lineRule="auto"/>
              <w:jc w:val="both"/>
              <w:rPr>
                <w:rFonts w:ascii="Arial" w:eastAsia="Times New Roman" w:hAnsi="Arial" w:cs="Arial"/>
                <w:b/>
                <w:bCs/>
                <w:kern w:val="0"/>
                <w:sz w:val="20"/>
                <w:szCs w:val="20"/>
                <w:lang w:eastAsia="en-GB"/>
                <w14:ligatures w14:val="none"/>
              </w:rPr>
            </w:pPr>
          </w:p>
        </w:tc>
        <w:tc>
          <w:tcPr>
            <w:tcW w:w="1300" w:type="dxa"/>
            <w:tcBorders>
              <w:top w:val="nil"/>
              <w:left w:val="nil"/>
              <w:bottom w:val="nil"/>
              <w:right w:val="nil"/>
            </w:tcBorders>
            <w:noWrap/>
            <w:vAlign w:val="bottom"/>
            <w:hideMark/>
          </w:tcPr>
          <w:p w14:paraId="0CD2C3C7" w14:textId="77777777" w:rsidR="00C77BEA" w:rsidRPr="00DD6C44" w:rsidRDefault="00C77BEA" w:rsidP="006A4A7F">
            <w:pPr>
              <w:spacing w:after="0" w:line="240" w:lineRule="auto"/>
              <w:jc w:val="center"/>
              <w:rPr>
                <w:rFonts w:ascii="Arial" w:eastAsia="Times New Roman" w:hAnsi="Arial" w:cs="Arial"/>
                <w:b/>
                <w:bCs/>
                <w:kern w:val="0"/>
                <w:sz w:val="22"/>
                <w:szCs w:val="22"/>
                <w:lang w:eastAsia="en-GB"/>
                <w14:ligatures w14:val="none"/>
              </w:rPr>
            </w:pPr>
            <w:r w:rsidRPr="00DD6C44">
              <w:rPr>
                <w:rFonts w:ascii="Arial" w:eastAsia="Times New Roman" w:hAnsi="Arial" w:cs="Arial"/>
                <w:b/>
                <w:bCs/>
                <w:kern w:val="0"/>
                <w:sz w:val="22"/>
                <w:szCs w:val="22"/>
                <w:lang w:eastAsia="en-GB"/>
                <w14:ligatures w14:val="none"/>
              </w:rPr>
              <w:t>Mean</w:t>
            </w:r>
          </w:p>
        </w:tc>
        <w:tc>
          <w:tcPr>
            <w:tcW w:w="1300" w:type="dxa"/>
            <w:tcBorders>
              <w:top w:val="nil"/>
              <w:left w:val="nil"/>
              <w:bottom w:val="nil"/>
              <w:right w:val="nil"/>
            </w:tcBorders>
            <w:noWrap/>
            <w:vAlign w:val="bottom"/>
            <w:hideMark/>
          </w:tcPr>
          <w:p w14:paraId="0CAD6337" w14:textId="77777777" w:rsidR="00C77BEA" w:rsidRPr="00DD6C44" w:rsidRDefault="00C77BEA" w:rsidP="006A4A7F">
            <w:pPr>
              <w:spacing w:after="0" w:line="240" w:lineRule="auto"/>
              <w:jc w:val="center"/>
              <w:rPr>
                <w:rFonts w:ascii="Arial" w:eastAsia="Times New Roman" w:hAnsi="Arial" w:cs="Arial"/>
                <w:b/>
                <w:bCs/>
                <w:kern w:val="0"/>
                <w:sz w:val="22"/>
                <w:szCs w:val="22"/>
                <w:lang w:eastAsia="en-GB"/>
                <w14:ligatures w14:val="none"/>
              </w:rPr>
            </w:pPr>
            <w:r w:rsidRPr="00DD6C44">
              <w:rPr>
                <w:rFonts w:ascii="Arial" w:eastAsia="Times New Roman" w:hAnsi="Arial" w:cs="Arial"/>
                <w:b/>
                <w:bCs/>
                <w:kern w:val="0"/>
                <w:sz w:val="22"/>
                <w:szCs w:val="22"/>
                <w:lang w:eastAsia="en-GB"/>
                <w14:ligatures w14:val="none"/>
              </w:rPr>
              <w:t>Median</w:t>
            </w:r>
          </w:p>
        </w:tc>
      </w:tr>
      <w:tr w:rsidR="00C77BEA" w:rsidRPr="00DE37A1" w14:paraId="4070C9D7" w14:textId="77777777" w:rsidTr="005D1499">
        <w:trPr>
          <w:trHeight w:val="300"/>
        </w:trPr>
        <w:tc>
          <w:tcPr>
            <w:tcW w:w="1120" w:type="dxa"/>
            <w:tcBorders>
              <w:top w:val="nil"/>
              <w:left w:val="nil"/>
              <w:bottom w:val="nil"/>
              <w:right w:val="nil"/>
            </w:tcBorders>
            <w:noWrap/>
            <w:vAlign w:val="bottom"/>
            <w:hideMark/>
          </w:tcPr>
          <w:p w14:paraId="63126725" w14:textId="77777777" w:rsidR="00C77BEA" w:rsidRPr="00DE37A1" w:rsidRDefault="00C77BEA" w:rsidP="00764560">
            <w:pPr>
              <w:spacing w:after="0" w:line="240" w:lineRule="auto"/>
              <w:jc w:val="both"/>
              <w:rPr>
                <w:rFonts w:ascii="Arial" w:eastAsia="Times New Roman" w:hAnsi="Arial" w:cs="Arial"/>
                <w:b/>
                <w:bCs/>
                <w:kern w:val="0"/>
                <w:sz w:val="22"/>
                <w:szCs w:val="22"/>
                <w:lang w:eastAsia="en-GB"/>
                <w14:ligatures w14:val="none"/>
              </w:rPr>
            </w:pPr>
          </w:p>
        </w:tc>
        <w:tc>
          <w:tcPr>
            <w:tcW w:w="400" w:type="dxa"/>
            <w:tcBorders>
              <w:top w:val="nil"/>
              <w:left w:val="nil"/>
              <w:bottom w:val="nil"/>
              <w:right w:val="nil"/>
            </w:tcBorders>
            <w:noWrap/>
            <w:vAlign w:val="bottom"/>
            <w:hideMark/>
          </w:tcPr>
          <w:p w14:paraId="540BE4F6" w14:textId="77777777" w:rsidR="00C77BEA" w:rsidRPr="00DE37A1" w:rsidRDefault="00C77BEA" w:rsidP="00764560">
            <w:pPr>
              <w:spacing w:after="0" w:line="240" w:lineRule="auto"/>
              <w:jc w:val="both"/>
              <w:rPr>
                <w:rFonts w:ascii="Arial" w:eastAsia="Times New Roman" w:hAnsi="Arial" w:cs="Arial"/>
                <w:b/>
                <w:bCs/>
                <w:kern w:val="0"/>
                <w:sz w:val="20"/>
                <w:szCs w:val="20"/>
                <w:lang w:eastAsia="en-GB"/>
                <w14:ligatures w14:val="none"/>
              </w:rPr>
            </w:pPr>
          </w:p>
        </w:tc>
        <w:tc>
          <w:tcPr>
            <w:tcW w:w="400" w:type="dxa"/>
            <w:tcBorders>
              <w:top w:val="nil"/>
              <w:left w:val="nil"/>
              <w:bottom w:val="nil"/>
              <w:right w:val="nil"/>
            </w:tcBorders>
            <w:noWrap/>
            <w:vAlign w:val="bottom"/>
            <w:hideMark/>
          </w:tcPr>
          <w:p w14:paraId="675B8822" w14:textId="77777777" w:rsidR="00C77BEA" w:rsidRPr="00DE37A1" w:rsidRDefault="00C77BEA" w:rsidP="00764560">
            <w:pPr>
              <w:spacing w:after="0" w:line="240" w:lineRule="auto"/>
              <w:jc w:val="both"/>
              <w:rPr>
                <w:rFonts w:ascii="Arial" w:eastAsia="Times New Roman" w:hAnsi="Arial" w:cs="Arial"/>
                <w:b/>
                <w:bCs/>
                <w:kern w:val="0"/>
                <w:sz w:val="20"/>
                <w:szCs w:val="20"/>
                <w:lang w:eastAsia="en-GB"/>
                <w14:ligatures w14:val="none"/>
              </w:rPr>
            </w:pPr>
          </w:p>
        </w:tc>
        <w:tc>
          <w:tcPr>
            <w:tcW w:w="280" w:type="dxa"/>
            <w:tcBorders>
              <w:top w:val="nil"/>
              <w:left w:val="nil"/>
              <w:bottom w:val="nil"/>
              <w:right w:val="nil"/>
            </w:tcBorders>
            <w:noWrap/>
            <w:vAlign w:val="bottom"/>
            <w:hideMark/>
          </w:tcPr>
          <w:p w14:paraId="3D82673B" w14:textId="77777777" w:rsidR="00C77BEA" w:rsidRPr="00DE37A1" w:rsidRDefault="00C77BEA" w:rsidP="00764560">
            <w:pPr>
              <w:spacing w:after="0" w:line="240" w:lineRule="auto"/>
              <w:jc w:val="both"/>
              <w:rPr>
                <w:rFonts w:ascii="Arial" w:eastAsia="Times New Roman" w:hAnsi="Arial" w:cs="Arial"/>
                <w:b/>
                <w:bCs/>
                <w:kern w:val="0"/>
                <w:sz w:val="20"/>
                <w:szCs w:val="20"/>
                <w:lang w:eastAsia="en-GB"/>
                <w14:ligatures w14:val="none"/>
              </w:rPr>
            </w:pPr>
          </w:p>
        </w:tc>
        <w:tc>
          <w:tcPr>
            <w:tcW w:w="1300" w:type="dxa"/>
            <w:tcBorders>
              <w:top w:val="nil"/>
              <w:left w:val="nil"/>
              <w:bottom w:val="nil"/>
              <w:right w:val="nil"/>
            </w:tcBorders>
            <w:noWrap/>
            <w:vAlign w:val="bottom"/>
            <w:hideMark/>
          </w:tcPr>
          <w:p w14:paraId="4EBF04F8" w14:textId="77777777" w:rsidR="00C77BEA" w:rsidRPr="005D1499" w:rsidRDefault="00C77BEA" w:rsidP="006A4A7F">
            <w:pPr>
              <w:spacing w:after="0" w:line="240" w:lineRule="auto"/>
              <w:jc w:val="center"/>
              <w:rPr>
                <w:rFonts w:ascii="Arial" w:eastAsia="Times New Roman" w:hAnsi="Arial" w:cs="Arial"/>
                <w:kern w:val="0"/>
                <w:sz w:val="22"/>
                <w:szCs w:val="22"/>
                <w:lang w:eastAsia="en-GB"/>
                <w14:ligatures w14:val="none"/>
              </w:rPr>
            </w:pPr>
            <w:r w:rsidRPr="005D1499">
              <w:rPr>
                <w:rFonts w:ascii="Arial" w:eastAsia="Times New Roman" w:hAnsi="Arial" w:cs="Arial"/>
                <w:kern w:val="0"/>
                <w:sz w:val="22"/>
                <w:szCs w:val="22"/>
                <w:lang w:eastAsia="en-GB"/>
                <w14:ligatures w14:val="none"/>
              </w:rPr>
              <w:t>(average)</w:t>
            </w:r>
          </w:p>
        </w:tc>
        <w:tc>
          <w:tcPr>
            <w:tcW w:w="1300" w:type="dxa"/>
            <w:tcBorders>
              <w:top w:val="nil"/>
              <w:left w:val="nil"/>
              <w:bottom w:val="nil"/>
              <w:right w:val="nil"/>
            </w:tcBorders>
            <w:noWrap/>
            <w:vAlign w:val="bottom"/>
            <w:hideMark/>
          </w:tcPr>
          <w:p w14:paraId="112E8353" w14:textId="5476E260" w:rsidR="00C77BEA" w:rsidRPr="005D1499" w:rsidRDefault="00C77BEA" w:rsidP="006A4A7F">
            <w:pPr>
              <w:spacing w:after="0" w:line="240" w:lineRule="auto"/>
              <w:jc w:val="center"/>
              <w:rPr>
                <w:rFonts w:ascii="Arial" w:eastAsia="Times New Roman" w:hAnsi="Arial" w:cs="Arial"/>
                <w:kern w:val="0"/>
                <w:sz w:val="22"/>
                <w:szCs w:val="22"/>
                <w:lang w:eastAsia="en-GB"/>
                <w14:ligatures w14:val="none"/>
              </w:rPr>
            </w:pPr>
            <w:r w:rsidRPr="005D1499">
              <w:rPr>
                <w:rFonts w:ascii="Arial" w:eastAsia="Times New Roman" w:hAnsi="Arial" w:cs="Arial"/>
                <w:kern w:val="0"/>
                <w:sz w:val="22"/>
                <w:szCs w:val="22"/>
                <w:lang w:eastAsia="en-GB"/>
                <w14:ligatures w14:val="none"/>
              </w:rPr>
              <w:t>(</w:t>
            </w:r>
            <w:r w:rsidR="005D1499" w:rsidRPr="005D1499">
              <w:rPr>
                <w:rFonts w:ascii="Arial" w:eastAsia="Times New Roman" w:hAnsi="Arial" w:cs="Arial"/>
                <w:kern w:val="0"/>
                <w:sz w:val="22"/>
                <w:szCs w:val="22"/>
                <w:lang w:eastAsia="en-GB"/>
                <w14:ligatures w14:val="none"/>
              </w:rPr>
              <w:t>m</w:t>
            </w:r>
            <w:r w:rsidRPr="005D1499">
              <w:rPr>
                <w:rFonts w:ascii="Arial" w:eastAsia="Times New Roman" w:hAnsi="Arial" w:cs="Arial"/>
                <w:kern w:val="0"/>
                <w:sz w:val="22"/>
                <w:szCs w:val="22"/>
                <w:lang w:eastAsia="en-GB"/>
                <w14:ligatures w14:val="none"/>
              </w:rPr>
              <w:t>iddle)</w:t>
            </w:r>
          </w:p>
        </w:tc>
      </w:tr>
      <w:tr w:rsidR="00C77BEA" w:rsidRPr="00DE37A1" w14:paraId="724EE5EE" w14:textId="77777777" w:rsidTr="005D1499">
        <w:trPr>
          <w:trHeight w:val="285"/>
        </w:trPr>
        <w:tc>
          <w:tcPr>
            <w:tcW w:w="1920" w:type="dxa"/>
            <w:gridSpan w:val="3"/>
            <w:tcBorders>
              <w:top w:val="nil"/>
              <w:left w:val="nil"/>
              <w:bottom w:val="nil"/>
              <w:right w:val="nil"/>
            </w:tcBorders>
            <w:noWrap/>
            <w:vAlign w:val="bottom"/>
            <w:hideMark/>
          </w:tcPr>
          <w:p w14:paraId="41FC09E8" w14:textId="77777777" w:rsidR="00C77BEA" w:rsidRPr="00DE37A1" w:rsidRDefault="00C77BEA" w:rsidP="00764560">
            <w:pPr>
              <w:spacing w:after="0" w:line="240" w:lineRule="auto"/>
              <w:jc w:val="both"/>
              <w:rPr>
                <w:rFonts w:ascii="Arial" w:eastAsia="Times New Roman" w:hAnsi="Arial" w:cs="Arial"/>
                <w:b/>
                <w:bCs/>
                <w:kern w:val="0"/>
                <w:sz w:val="22"/>
                <w:szCs w:val="22"/>
                <w:lang w:eastAsia="en-GB"/>
                <w14:ligatures w14:val="none"/>
              </w:rPr>
            </w:pPr>
            <w:r w:rsidRPr="00DE37A1">
              <w:rPr>
                <w:rFonts w:ascii="Arial" w:eastAsia="Times New Roman" w:hAnsi="Arial" w:cs="Arial"/>
                <w:b/>
                <w:bCs/>
                <w:kern w:val="0"/>
                <w:sz w:val="22"/>
                <w:szCs w:val="22"/>
                <w:lang w:eastAsia="en-GB"/>
                <w14:ligatures w14:val="none"/>
              </w:rPr>
              <w:t>Gender Pay Gap</w:t>
            </w:r>
          </w:p>
        </w:tc>
        <w:tc>
          <w:tcPr>
            <w:tcW w:w="280" w:type="dxa"/>
            <w:tcBorders>
              <w:top w:val="nil"/>
              <w:left w:val="nil"/>
              <w:bottom w:val="nil"/>
              <w:right w:val="nil"/>
            </w:tcBorders>
            <w:noWrap/>
            <w:vAlign w:val="bottom"/>
            <w:hideMark/>
          </w:tcPr>
          <w:p w14:paraId="7D14EA16" w14:textId="77777777" w:rsidR="00C77BEA" w:rsidRPr="00DE37A1" w:rsidRDefault="00C77BEA" w:rsidP="00764560">
            <w:pPr>
              <w:spacing w:after="0" w:line="240" w:lineRule="auto"/>
              <w:jc w:val="both"/>
              <w:rPr>
                <w:rFonts w:ascii="Arial" w:eastAsia="Times New Roman" w:hAnsi="Arial" w:cs="Arial"/>
                <w:b/>
                <w:bCs/>
                <w:kern w:val="0"/>
                <w:sz w:val="22"/>
                <w:szCs w:val="22"/>
                <w:lang w:eastAsia="en-GB"/>
                <w14:ligatures w14:val="none"/>
              </w:rPr>
            </w:pPr>
          </w:p>
        </w:tc>
        <w:tc>
          <w:tcPr>
            <w:tcW w:w="1300" w:type="dxa"/>
            <w:tcBorders>
              <w:top w:val="nil"/>
              <w:left w:val="nil"/>
              <w:bottom w:val="nil"/>
              <w:right w:val="nil"/>
            </w:tcBorders>
            <w:noWrap/>
            <w:vAlign w:val="bottom"/>
            <w:hideMark/>
          </w:tcPr>
          <w:p w14:paraId="266541E8" w14:textId="304C2769" w:rsidR="00C77BEA" w:rsidRPr="00DD6C44" w:rsidRDefault="00C77BEA" w:rsidP="006A4A7F">
            <w:pPr>
              <w:spacing w:after="0" w:line="240" w:lineRule="auto"/>
              <w:jc w:val="center"/>
              <w:rPr>
                <w:rFonts w:ascii="Arial" w:eastAsia="Times New Roman" w:hAnsi="Arial" w:cs="Arial"/>
                <w:b/>
                <w:bCs/>
                <w:kern w:val="0"/>
                <w:sz w:val="22"/>
                <w:szCs w:val="22"/>
                <w:lang w:eastAsia="en-GB"/>
                <w14:ligatures w14:val="none"/>
              </w:rPr>
            </w:pPr>
            <w:r w:rsidRPr="00DD6C44">
              <w:rPr>
                <w:rFonts w:ascii="Arial" w:eastAsia="Times New Roman" w:hAnsi="Arial" w:cs="Arial"/>
                <w:b/>
                <w:bCs/>
                <w:kern w:val="0"/>
                <w:sz w:val="22"/>
                <w:szCs w:val="22"/>
                <w:lang w:eastAsia="en-GB"/>
                <w14:ligatures w14:val="none"/>
              </w:rPr>
              <w:t>0.</w:t>
            </w:r>
            <w:r w:rsidR="009833EC">
              <w:rPr>
                <w:rFonts w:ascii="Arial" w:eastAsia="Times New Roman" w:hAnsi="Arial" w:cs="Arial"/>
                <w:b/>
                <w:bCs/>
                <w:kern w:val="0"/>
                <w:sz w:val="22"/>
                <w:szCs w:val="22"/>
                <w:lang w:eastAsia="en-GB"/>
                <w14:ligatures w14:val="none"/>
              </w:rPr>
              <w:t>6</w:t>
            </w:r>
            <w:r w:rsidRPr="00DD6C44">
              <w:rPr>
                <w:rFonts w:ascii="Arial" w:eastAsia="Times New Roman" w:hAnsi="Arial" w:cs="Arial"/>
                <w:b/>
                <w:bCs/>
                <w:kern w:val="0"/>
                <w:sz w:val="22"/>
                <w:szCs w:val="22"/>
                <w:lang w:eastAsia="en-GB"/>
                <w14:ligatures w14:val="none"/>
              </w:rPr>
              <w:t>%</w:t>
            </w:r>
          </w:p>
        </w:tc>
        <w:tc>
          <w:tcPr>
            <w:tcW w:w="1300" w:type="dxa"/>
            <w:tcBorders>
              <w:top w:val="nil"/>
              <w:left w:val="nil"/>
              <w:bottom w:val="nil"/>
              <w:right w:val="nil"/>
            </w:tcBorders>
            <w:noWrap/>
            <w:vAlign w:val="bottom"/>
            <w:hideMark/>
          </w:tcPr>
          <w:p w14:paraId="159E3B20" w14:textId="2650A69B" w:rsidR="00C77BEA" w:rsidRPr="00DD6C44" w:rsidRDefault="00C77BEA" w:rsidP="006A4A7F">
            <w:pPr>
              <w:spacing w:after="0" w:line="240" w:lineRule="auto"/>
              <w:jc w:val="center"/>
              <w:rPr>
                <w:rFonts w:ascii="Arial" w:eastAsia="Times New Roman" w:hAnsi="Arial" w:cs="Arial"/>
                <w:b/>
                <w:bCs/>
                <w:kern w:val="0"/>
                <w:sz w:val="22"/>
                <w:szCs w:val="22"/>
                <w:lang w:eastAsia="en-GB"/>
                <w14:ligatures w14:val="none"/>
              </w:rPr>
            </w:pPr>
            <w:r w:rsidRPr="00DD6C44">
              <w:rPr>
                <w:rFonts w:ascii="Arial" w:eastAsia="Times New Roman" w:hAnsi="Arial" w:cs="Arial"/>
                <w:b/>
                <w:bCs/>
                <w:kern w:val="0"/>
                <w:sz w:val="22"/>
                <w:szCs w:val="22"/>
                <w:lang w:eastAsia="en-GB"/>
                <w14:ligatures w14:val="none"/>
              </w:rPr>
              <w:t>0.0%</w:t>
            </w:r>
          </w:p>
        </w:tc>
      </w:tr>
    </w:tbl>
    <w:p w14:paraId="3E3B970E" w14:textId="77777777" w:rsidR="00876A4A" w:rsidRDefault="00C77BEA" w:rsidP="00764560">
      <w:pPr>
        <w:jc w:val="both"/>
        <w:rPr>
          <w:rFonts w:ascii="Arial" w:hAnsi="Arial" w:cs="Arial"/>
        </w:rPr>
      </w:pPr>
      <w:r w:rsidRPr="00B16D5A">
        <w:rPr>
          <w:rFonts w:ascii="Arial" w:hAnsi="Arial" w:cs="Arial"/>
        </w:rPr>
        <w:fldChar w:fldCharType="end"/>
      </w:r>
    </w:p>
    <w:p w14:paraId="32394FEB" w14:textId="5A1CE99A" w:rsidR="00A3597E" w:rsidRPr="00A06DF3" w:rsidRDefault="00A3597E" w:rsidP="00764560">
      <w:pPr>
        <w:jc w:val="both"/>
        <w:rPr>
          <w:rFonts w:ascii="Arial" w:eastAsiaTheme="majorEastAsia" w:hAnsi="Arial" w:cs="Arial"/>
          <w:b/>
          <w:bCs/>
          <w:color w:val="0F4761" w:themeColor="accent1" w:themeShade="BF"/>
          <w:sz w:val="28"/>
          <w:szCs w:val="28"/>
        </w:rPr>
      </w:pPr>
      <w:r w:rsidRPr="00A06DF3">
        <w:rPr>
          <w:rFonts w:ascii="Arial" w:eastAsiaTheme="majorEastAsia" w:hAnsi="Arial" w:cs="Arial"/>
          <w:b/>
          <w:bCs/>
          <w:color w:val="0F4761" w:themeColor="accent1" w:themeShade="BF"/>
          <w:sz w:val="28"/>
          <w:szCs w:val="28"/>
        </w:rPr>
        <w:t>3. Gender Distribution Across Pay Quartiles</w:t>
      </w:r>
    </w:p>
    <w:p w14:paraId="5BBBB273" w14:textId="40B1DD0D" w:rsidR="00A3597E" w:rsidRDefault="000363F4" w:rsidP="00764560">
      <w:pPr>
        <w:jc w:val="both"/>
        <w:rPr>
          <w:rFonts w:ascii="Arial" w:hAnsi="Arial" w:cs="Arial"/>
        </w:rPr>
      </w:pPr>
      <w:r w:rsidRPr="000363F4">
        <w:rPr>
          <w:rFonts w:ascii="Arial" w:hAnsi="Arial" w:cs="Arial"/>
        </w:rPr>
        <w:t xml:space="preserve">To understand workforce structure, all employees are ranked by hourly pay and divided into four equal groups, known as quartiles. </w:t>
      </w:r>
      <w:r w:rsidR="004D0671">
        <w:rPr>
          <w:rFonts w:ascii="Arial" w:hAnsi="Arial" w:cs="Arial"/>
        </w:rPr>
        <w:t xml:space="preserve"> </w:t>
      </w:r>
      <w:r w:rsidRPr="000363F4">
        <w:rPr>
          <w:rFonts w:ascii="Arial" w:hAnsi="Arial" w:cs="Arial"/>
        </w:rPr>
        <w:t>This shows the representation of men and women across lower, middle and higher</w:t>
      </w:r>
      <w:r w:rsidRPr="000363F4">
        <w:rPr>
          <w:rFonts w:ascii="Cambria Math" w:hAnsi="Cambria Math" w:cs="Cambria Math"/>
        </w:rPr>
        <w:t>‑</w:t>
      </w:r>
      <w:r w:rsidRPr="000363F4">
        <w:rPr>
          <w:rFonts w:ascii="Arial" w:hAnsi="Arial" w:cs="Arial"/>
        </w:rPr>
        <w:t>paid roles</w:t>
      </w:r>
      <w:r w:rsidR="00550BDB">
        <w:rPr>
          <w:rFonts w:ascii="Arial" w:hAnsi="Arial" w:cs="Arial"/>
        </w:rPr>
        <w:t xml:space="preserve"> </w:t>
      </w:r>
      <w:r w:rsidR="00A3597E" w:rsidRPr="00B16D5A">
        <w:rPr>
          <w:rFonts w:ascii="Arial" w:hAnsi="Arial" w:cs="Arial"/>
        </w:rPr>
        <w:t>within the organisation.</w:t>
      </w:r>
    </w:p>
    <w:p w14:paraId="43E3CBBC" w14:textId="77777777" w:rsidR="00C46D8F" w:rsidRDefault="00C46D8F" w:rsidP="00764560">
      <w:pPr>
        <w:jc w:val="both"/>
        <w:rPr>
          <w:rFonts w:ascii="Arial" w:hAnsi="Arial" w:cs="Arial"/>
        </w:rPr>
      </w:pPr>
    </w:p>
    <w:p w14:paraId="31EB73DD" w14:textId="1C754BF3" w:rsidR="0087713B" w:rsidRPr="00A06DF3" w:rsidRDefault="0087713B" w:rsidP="00764560">
      <w:pPr>
        <w:jc w:val="both"/>
        <w:rPr>
          <w:rFonts w:ascii="Arial" w:eastAsiaTheme="majorEastAsia" w:hAnsi="Arial" w:cs="Arial"/>
          <w:b/>
          <w:bCs/>
          <w:color w:val="0F4761" w:themeColor="accent1" w:themeShade="BF"/>
          <w:sz w:val="28"/>
          <w:szCs w:val="28"/>
        </w:rPr>
      </w:pPr>
      <w:r w:rsidRPr="00A06DF3">
        <w:rPr>
          <w:rFonts w:ascii="Arial" w:eastAsiaTheme="majorEastAsia" w:hAnsi="Arial" w:cs="Arial"/>
          <w:b/>
          <w:bCs/>
          <w:color w:val="0F4761" w:themeColor="accent1" w:themeShade="BF"/>
          <w:sz w:val="28"/>
          <w:szCs w:val="28"/>
        </w:rPr>
        <w:t>Proportion of males and females in each pay quartile April 202</w:t>
      </w:r>
      <w:r w:rsidR="00850D9C">
        <w:rPr>
          <w:rFonts w:ascii="Arial" w:eastAsiaTheme="majorEastAsia" w:hAnsi="Arial" w:cs="Arial"/>
          <w:b/>
          <w:bCs/>
          <w:color w:val="0F4761" w:themeColor="accent1" w:themeShade="BF"/>
          <w:sz w:val="28"/>
          <w:szCs w:val="28"/>
        </w:rPr>
        <w:t>5</w:t>
      </w:r>
    </w:p>
    <w:tbl>
      <w:tblPr>
        <w:tblW w:w="9072" w:type="dxa"/>
        <w:tblCellMar>
          <w:top w:w="15" w:type="dxa"/>
          <w:bottom w:w="15" w:type="dxa"/>
        </w:tblCellMar>
        <w:tblLook w:val="04A0" w:firstRow="1" w:lastRow="0" w:firstColumn="1" w:lastColumn="0" w:noHBand="0" w:noVBand="1"/>
      </w:tblPr>
      <w:tblGrid>
        <w:gridCol w:w="1992"/>
        <w:gridCol w:w="1127"/>
        <w:gridCol w:w="1177"/>
        <w:gridCol w:w="1273"/>
        <w:gridCol w:w="1177"/>
        <w:gridCol w:w="1149"/>
        <w:gridCol w:w="1177"/>
      </w:tblGrid>
      <w:tr w:rsidR="00A3597E" w:rsidRPr="00B16D5A" w14:paraId="082C0C6B" w14:textId="77777777" w:rsidTr="00711BF7">
        <w:trPr>
          <w:trHeight w:val="237"/>
        </w:trPr>
        <w:tc>
          <w:tcPr>
            <w:tcW w:w="1992" w:type="dxa"/>
            <w:tcBorders>
              <w:top w:val="nil"/>
              <w:left w:val="nil"/>
              <w:bottom w:val="nil"/>
              <w:right w:val="nil"/>
            </w:tcBorders>
            <w:shd w:val="clear" w:color="auto" w:fill="FFFFFF" w:themeFill="background1"/>
            <w:noWrap/>
            <w:vAlign w:val="bottom"/>
            <w:hideMark/>
          </w:tcPr>
          <w:p w14:paraId="29163FD2" w14:textId="77777777" w:rsidR="00A3597E" w:rsidRPr="00B16D5A" w:rsidRDefault="00A3597E" w:rsidP="00764560">
            <w:pPr>
              <w:jc w:val="both"/>
              <w:rPr>
                <w:rFonts w:ascii="Arial" w:hAnsi="Arial" w:cs="Arial"/>
              </w:rPr>
            </w:pPr>
          </w:p>
        </w:tc>
        <w:tc>
          <w:tcPr>
            <w:tcW w:w="2304" w:type="dxa"/>
            <w:gridSpan w:val="2"/>
            <w:tcBorders>
              <w:top w:val="nil"/>
              <w:left w:val="nil"/>
              <w:bottom w:val="nil"/>
              <w:right w:val="nil"/>
            </w:tcBorders>
            <w:shd w:val="clear" w:color="auto" w:fill="FFFFFF" w:themeFill="background1"/>
            <w:vAlign w:val="bottom"/>
            <w:hideMark/>
          </w:tcPr>
          <w:p w14:paraId="559B2EE8" w14:textId="77777777" w:rsidR="00A3597E" w:rsidRPr="00B16D5A" w:rsidRDefault="00A3597E" w:rsidP="00764560">
            <w:pPr>
              <w:jc w:val="both"/>
              <w:rPr>
                <w:rFonts w:ascii="Arial" w:hAnsi="Arial" w:cs="Arial"/>
                <w:b/>
                <w:bCs/>
                <w:color w:val="7030A0"/>
              </w:rPr>
            </w:pPr>
            <w:r w:rsidRPr="00B16D5A">
              <w:rPr>
                <w:rFonts w:ascii="Arial" w:hAnsi="Arial" w:cs="Arial"/>
                <w:b/>
                <w:bCs/>
                <w:color w:val="7030A0"/>
              </w:rPr>
              <w:t xml:space="preserve">       </w:t>
            </w:r>
            <w:r w:rsidRPr="00F8589D">
              <w:rPr>
                <w:rFonts w:ascii="Arial" w:eastAsiaTheme="majorEastAsia" w:hAnsi="Arial" w:cs="Arial"/>
                <w:b/>
                <w:bCs/>
                <w:color w:val="0F4761" w:themeColor="accent1" w:themeShade="BF"/>
              </w:rPr>
              <w:t>Mean pay £</w:t>
            </w:r>
          </w:p>
        </w:tc>
        <w:tc>
          <w:tcPr>
            <w:tcW w:w="2450" w:type="dxa"/>
            <w:gridSpan w:val="2"/>
            <w:tcBorders>
              <w:top w:val="nil"/>
              <w:left w:val="nil"/>
              <w:bottom w:val="nil"/>
              <w:right w:val="nil"/>
            </w:tcBorders>
            <w:shd w:val="clear" w:color="auto" w:fill="FFFFFF" w:themeFill="background1"/>
            <w:vAlign w:val="bottom"/>
            <w:hideMark/>
          </w:tcPr>
          <w:p w14:paraId="3D636F65" w14:textId="77777777" w:rsidR="00A3597E" w:rsidRPr="00B16D5A" w:rsidRDefault="00A3597E" w:rsidP="000165F3">
            <w:pPr>
              <w:jc w:val="center"/>
              <w:rPr>
                <w:rFonts w:ascii="Arial" w:hAnsi="Arial" w:cs="Arial"/>
                <w:b/>
                <w:bCs/>
                <w:color w:val="7030A0"/>
              </w:rPr>
            </w:pPr>
            <w:r w:rsidRPr="00F8589D">
              <w:rPr>
                <w:rFonts w:ascii="Arial" w:eastAsiaTheme="majorEastAsia" w:hAnsi="Arial" w:cs="Arial"/>
                <w:b/>
                <w:bCs/>
                <w:color w:val="0F4761" w:themeColor="accent1" w:themeShade="BF"/>
              </w:rPr>
              <w:t>Number of staff in each quartile</w:t>
            </w:r>
          </w:p>
        </w:tc>
        <w:tc>
          <w:tcPr>
            <w:tcW w:w="2326" w:type="dxa"/>
            <w:gridSpan w:val="2"/>
            <w:tcBorders>
              <w:top w:val="nil"/>
              <w:left w:val="nil"/>
              <w:bottom w:val="nil"/>
              <w:right w:val="nil"/>
            </w:tcBorders>
            <w:shd w:val="clear" w:color="auto" w:fill="FFFFFF" w:themeFill="background1"/>
          </w:tcPr>
          <w:p w14:paraId="2AB54BDC" w14:textId="77777777" w:rsidR="00A3597E" w:rsidRPr="00F8589D" w:rsidRDefault="00A3597E" w:rsidP="000165F3">
            <w:pPr>
              <w:jc w:val="center"/>
              <w:rPr>
                <w:rFonts w:ascii="Arial" w:hAnsi="Arial" w:cs="Arial"/>
                <w:b/>
                <w:bCs/>
                <w:color w:val="7030A0"/>
              </w:rPr>
            </w:pPr>
            <w:r w:rsidRPr="00F8589D">
              <w:rPr>
                <w:rFonts w:ascii="Arial" w:eastAsiaTheme="majorEastAsia" w:hAnsi="Arial" w:cs="Arial"/>
                <w:b/>
                <w:bCs/>
                <w:color w:val="0F4761" w:themeColor="accent1" w:themeShade="BF"/>
              </w:rPr>
              <w:t>% of staff gender in each quartile</w:t>
            </w:r>
          </w:p>
        </w:tc>
      </w:tr>
      <w:tr w:rsidR="00A3597E" w:rsidRPr="00B16D5A" w14:paraId="2BA4C6F0" w14:textId="77777777" w:rsidTr="00711BF7">
        <w:trPr>
          <w:trHeight w:val="237"/>
        </w:trPr>
        <w:tc>
          <w:tcPr>
            <w:tcW w:w="1992" w:type="dxa"/>
            <w:tcBorders>
              <w:top w:val="nil"/>
              <w:left w:val="nil"/>
              <w:bottom w:val="nil"/>
              <w:right w:val="nil"/>
            </w:tcBorders>
            <w:shd w:val="clear" w:color="auto" w:fill="FFFFFF" w:themeFill="background1"/>
            <w:noWrap/>
            <w:vAlign w:val="bottom"/>
            <w:hideMark/>
          </w:tcPr>
          <w:p w14:paraId="1CE52204" w14:textId="77777777" w:rsidR="00A3597E" w:rsidRPr="00B16D5A" w:rsidRDefault="00A3597E" w:rsidP="00764560">
            <w:pPr>
              <w:jc w:val="both"/>
              <w:rPr>
                <w:rFonts w:ascii="Arial" w:hAnsi="Arial" w:cs="Arial"/>
                <w:b/>
                <w:bCs/>
              </w:rPr>
            </w:pPr>
            <w:r w:rsidRPr="00B16D5A">
              <w:rPr>
                <w:rFonts w:ascii="Arial" w:hAnsi="Arial" w:cs="Arial"/>
                <w:b/>
                <w:bCs/>
              </w:rPr>
              <w:t>Quartile</w:t>
            </w:r>
          </w:p>
        </w:tc>
        <w:tc>
          <w:tcPr>
            <w:tcW w:w="1127" w:type="dxa"/>
            <w:tcBorders>
              <w:top w:val="nil"/>
              <w:left w:val="nil"/>
              <w:bottom w:val="single" w:sz="4" w:space="0" w:color="auto"/>
              <w:right w:val="nil"/>
            </w:tcBorders>
            <w:shd w:val="clear" w:color="auto" w:fill="FFFFFF" w:themeFill="background1"/>
            <w:noWrap/>
            <w:vAlign w:val="bottom"/>
            <w:hideMark/>
          </w:tcPr>
          <w:p w14:paraId="1D56AF53" w14:textId="77777777" w:rsidR="00A3597E" w:rsidRPr="00F8589D" w:rsidRDefault="00A3597E" w:rsidP="00EC372C">
            <w:pPr>
              <w:jc w:val="center"/>
              <w:rPr>
                <w:rFonts w:ascii="Arial" w:hAnsi="Arial" w:cs="Arial"/>
                <w:b/>
                <w:bCs/>
              </w:rPr>
            </w:pPr>
            <w:r w:rsidRPr="00F8589D">
              <w:rPr>
                <w:rFonts w:ascii="Arial" w:hAnsi="Arial" w:cs="Arial"/>
                <w:b/>
                <w:bCs/>
              </w:rPr>
              <w:t>Males</w:t>
            </w:r>
          </w:p>
        </w:tc>
        <w:tc>
          <w:tcPr>
            <w:tcW w:w="1177" w:type="dxa"/>
            <w:tcBorders>
              <w:top w:val="nil"/>
              <w:left w:val="nil"/>
              <w:bottom w:val="single" w:sz="4" w:space="0" w:color="auto"/>
              <w:right w:val="nil"/>
            </w:tcBorders>
            <w:shd w:val="clear" w:color="auto" w:fill="FFFFFF" w:themeFill="background1"/>
            <w:noWrap/>
            <w:vAlign w:val="bottom"/>
            <w:hideMark/>
          </w:tcPr>
          <w:p w14:paraId="2190BBA7" w14:textId="77777777" w:rsidR="00A3597E" w:rsidRPr="00F8589D" w:rsidRDefault="00A3597E" w:rsidP="00EC372C">
            <w:pPr>
              <w:jc w:val="center"/>
              <w:rPr>
                <w:rFonts w:ascii="Arial" w:hAnsi="Arial" w:cs="Arial"/>
                <w:b/>
                <w:bCs/>
              </w:rPr>
            </w:pPr>
            <w:r w:rsidRPr="00F8589D">
              <w:rPr>
                <w:rFonts w:ascii="Arial" w:hAnsi="Arial" w:cs="Arial"/>
                <w:b/>
                <w:bCs/>
              </w:rPr>
              <w:t>Females</w:t>
            </w:r>
          </w:p>
        </w:tc>
        <w:tc>
          <w:tcPr>
            <w:tcW w:w="1273" w:type="dxa"/>
            <w:tcBorders>
              <w:top w:val="nil"/>
              <w:left w:val="nil"/>
              <w:bottom w:val="single" w:sz="4" w:space="0" w:color="auto"/>
              <w:right w:val="nil"/>
            </w:tcBorders>
            <w:shd w:val="clear" w:color="auto" w:fill="FFFFFF" w:themeFill="background1"/>
            <w:noWrap/>
            <w:vAlign w:val="bottom"/>
            <w:hideMark/>
          </w:tcPr>
          <w:p w14:paraId="487BA77F" w14:textId="77777777" w:rsidR="00A3597E" w:rsidRPr="00F8589D" w:rsidRDefault="00A3597E" w:rsidP="00EC372C">
            <w:pPr>
              <w:jc w:val="center"/>
              <w:rPr>
                <w:rFonts w:ascii="Arial" w:hAnsi="Arial" w:cs="Arial"/>
                <w:b/>
                <w:bCs/>
              </w:rPr>
            </w:pPr>
            <w:r w:rsidRPr="00F8589D">
              <w:rPr>
                <w:rFonts w:ascii="Arial" w:hAnsi="Arial" w:cs="Arial"/>
                <w:b/>
                <w:bCs/>
              </w:rPr>
              <w:t>Males</w:t>
            </w:r>
          </w:p>
        </w:tc>
        <w:tc>
          <w:tcPr>
            <w:tcW w:w="1177" w:type="dxa"/>
            <w:tcBorders>
              <w:top w:val="nil"/>
              <w:left w:val="nil"/>
              <w:bottom w:val="single" w:sz="4" w:space="0" w:color="auto"/>
              <w:right w:val="nil"/>
            </w:tcBorders>
            <w:shd w:val="clear" w:color="auto" w:fill="FFFFFF" w:themeFill="background1"/>
            <w:noWrap/>
            <w:vAlign w:val="bottom"/>
            <w:hideMark/>
          </w:tcPr>
          <w:p w14:paraId="4AD584F5" w14:textId="77777777" w:rsidR="00A3597E" w:rsidRPr="00F8589D" w:rsidRDefault="00A3597E" w:rsidP="00EC372C">
            <w:pPr>
              <w:jc w:val="center"/>
              <w:rPr>
                <w:rFonts w:ascii="Arial" w:hAnsi="Arial" w:cs="Arial"/>
                <w:b/>
                <w:bCs/>
              </w:rPr>
            </w:pPr>
            <w:r w:rsidRPr="00F8589D">
              <w:rPr>
                <w:rFonts w:ascii="Arial" w:hAnsi="Arial" w:cs="Arial"/>
                <w:b/>
                <w:bCs/>
              </w:rPr>
              <w:t>Females</w:t>
            </w:r>
          </w:p>
        </w:tc>
        <w:tc>
          <w:tcPr>
            <w:tcW w:w="1149" w:type="dxa"/>
            <w:tcBorders>
              <w:top w:val="nil"/>
              <w:left w:val="nil"/>
              <w:bottom w:val="single" w:sz="4" w:space="0" w:color="auto"/>
              <w:right w:val="nil"/>
            </w:tcBorders>
            <w:shd w:val="clear" w:color="auto" w:fill="FFFFFF" w:themeFill="background1"/>
            <w:vAlign w:val="bottom"/>
          </w:tcPr>
          <w:p w14:paraId="7C5A9254" w14:textId="77777777" w:rsidR="00A3597E" w:rsidRPr="00F8589D" w:rsidRDefault="00A3597E" w:rsidP="00EC372C">
            <w:pPr>
              <w:jc w:val="center"/>
              <w:rPr>
                <w:rFonts w:ascii="Arial" w:hAnsi="Arial" w:cs="Arial"/>
                <w:b/>
                <w:bCs/>
              </w:rPr>
            </w:pPr>
            <w:r w:rsidRPr="00F8589D">
              <w:rPr>
                <w:rFonts w:ascii="Arial" w:hAnsi="Arial" w:cs="Arial"/>
                <w:b/>
                <w:bCs/>
              </w:rPr>
              <w:t>Males</w:t>
            </w:r>
          </w:p>
        </w:tc>
        <w:tc>
          <w:tcPr>
            <w:tcW w:w="1177" w:type="dxa"/>
            <w:tcBorders>
              <w:top w:val="nil"/>
              <w:left w:val="nil"/>
              <w:bottom w:val="single" w:sz="4" w:space="0" w:color="auto"/>
              <w:right w:val="nil"/>
            </w:tcBorders>
            <w:shd w:val="clear" w:color="auto" w:fill="FFFFFF" w:themeFill="background1"/>
            <w:vAlign w:val="bottom"/>
          </w:tcPr>
          <w:p w14:paraId="39AC8CDD" w14:textId="77777777" w:rsidR="00A3597E" w:rsidRPr="00F8589D" w:rsidRDefault="00A3597E" w:rsidP="00EC372C">
            <w:pPr>
              <w:jc w:val="center"/>
              <w:rPr>
                <w:rFonts w:ascii="Arial" w:hAnsi="Arial" w:cs="Arial"/>
                <w:b/>
                <w:bCs/>
              </w:rPr>
            </w:pPr>
            <w:r w:rsidRPr="00F8589D">
              <w:rPr>
                <w:rFonts w:ascii="Arial" w:hAnsi="Arial" w:cs="Arial"/>
                <w:b/>
                <w:bCs/>
              </w:rPr>
              <w:t>Females</w:t>
            </w:r>
          </w:p>
        </w:tc>
      </w:tr>
      <w:tr w:rsidR="00A3597E" w:rsidRPr="00B16D5A" w14:paraId="1B57731E" w14:textId="77777777" w:rsidTr="00711BF7">
        <w:trPr>
          <w:trHeight w:hRule="exact" w:val="397"/>
        </w:trPr>
        <w:tc>
          <w:tcPr>
            <w:tcW w:w="1992" w:type="dxa"/>
            <w:tcBorders>
              <w:top w:val="nil"/>
              <w:left w:val="nil"/>
              <w:bottom w:val="nil"/>
              <w:right w:val="nil"/>
            </w:tcBorders>
            <w:shd w:val="clear" w:color="auto" w:fill="FFFFFF" w:themeFill="background1"/>
            <w:noWrap/>
            <w:vAlign w:val="bottom"/>
            <w:hideMark/>
          </w:tcPr>
          <w:p w14:paraId="6B70B80E" w14:textId="77777777" w:rsidR="00A3597E" w:rsidRPr="00B16D5A" w:rsidRDefault="00A3597E" w:rsidP="00764560">
            <w:pPr>
              <w:jc w:val="both"/>
              <w:rPr>
                <w:rFonts w:ascii="Arial" w:hAnsi="Arial" w:cs="Arial"/>
              </w:rPr>
            </w:pPr>
            <w:r w:rsidRPr="00B16D5A">
              <w:rPr>
                <w:rFonts w:ascii="Arial" w:hAnsi="Arial" w:cs="Arial"/>
              </w:rPr>
              <w:t>Lower hr rate</w:t>
            </w:r>
          </w:p>
        </w:tc>
        <w:tc>
          <w:tcPr>
            <w:tcW w:w="1127" w:type="dxa"/>
            <w:tcBorders>
              <w:top w:val="nil"/>
              <w:left w:val="nil"/>
              <w:bottom w:val="nil"/>
              <w:right w:val="nil"/>
            </w:tcBorders>
            <w:shd w:val="clear" w:color="auto" w:fill="FFFFFF" w:themeFill="background1"/>
            <w:noWrap/>
            <w:vAlign w:val="bottom"/>
            <w:hideMark/>
          </w:tcPr>
          <w:p w14:paraId="5E51ED3E" w14:textId="4FC6F7A9" w:rsidR="00A3597E" w:rsidRPr="009C5D28" w:rsidRDefault="00A3597E" w:rsidP="00F8589D">
            <w:pPr>
              <w:jc w:val="center"/>
              <w:rPr>
                <w:rFonts w:ascii="Arial" w:hAnsi="Arial" w:cs="Arial"/>
                <w:sz w:val="22"/>
                <w:szCs w:val="22"/>
              </w:rPr>
            </w:pPr>
            <w:r w:rsidRPr="009C5D28">
              <w:rPr>
                <w:rFonts w:ascii="Arial" w:hAnsi="Arial" w:cs="Arial"/>
                <w:sz w:val="22"/>
                <w:szCs w:val="22"/>
              </w:rPr>
              <w:t>£12.60</w:t>
            </w:r>
          </w:p>
        </w:tc>
        <w:tc>
          <w:tcPr>
            <w:tcW w:w="1177" w:type="dxa"/>
            <w:tcBorders>
              <w:top w:val="nil"/>
              <w:left w:val="nil"/>
              <w:bottom w:val="nil"/>
              <w:right w:val="nil"/>
            </w:tcBorders>
            <w:shd w:val="clear" w:color="auto" w:fill="FFFFFF" w:themeFill="background1"/>
            <w:noWrap/>
            <w:vAlign w:val="bottom"/>
            <w:hideMark/>
          </w:tcPr>
          <w:p w14:paraId="08073C9E" w14:textId="7E132453" w:rsidR="00A3597E" w:rsidRPr="009C5D28" w:rsidRDefault="00A3597E" w:rsidP="00F8589D">
            <w:pPr>
              <w:jc w:val="center"/>
              <w:rPr>
                <w:rFonts w:ascii="Arial" w:hAnsi="Arial" w:cs="Arial"/>
                <w:sz w:val="22"/>
                <w:szCs w:val="22"/>
              </w:rPr>
            </w:pPr>
            <w:r w:rsidRPr="009C5D28">
              <w:rPr>
                <w:rFonts w:ascii="Arial" w:hAnsi="Arial" w:cs="Arial"/>
                <w:sz w:val="22"/>
                <w:szCs w:val="22"/>
              </w:rPr>
              <w:t>£12.60</w:t>
            </w:r>
          </w:p>
        </w:tc>
        <w:tc>
          <w:tcPr>
            <w:tcW w:w="1273" w:type="dxa"/>
            <w:tcBorders>
              <w:top w:val="nil"/>
              <w:left w:val="nil"/>
              <w:bottom w:val="nil"/>
              <w:right w:val="nil"/>
            </w:tcBorders>
            <w:shd w:val="clear" w:color="auto" w:fill="FFFFFF" w:themeFill="background1"/>
            <w:noWrap/>
            <w:vAlign w:val="bottom"/>
            <w:hideMark/>
          </w:tcPr>
          <w:p w14:paraId="18AD2BC1" w14:textId="28169EF6" w:rsidR="00A3597E" w:rsidRPr="009C5D28" w:rsidRDefault="00A3597E" w:rsidP="00F8589D">
            <w:pPr>
              <w:jc w:val="center"/>
              <w:rPr>
                <w:rFonts w:ascii="Arial" w:hAnsi="Arial" w:cs="Arial"/>
                <w:sz w:val="22"/>
                <w:szCs w:val="22"/>
              </w:rPr>
            </w:pPr>
            <w:r w:rsidRPr="009C5D28">
              <w:rPr>
                <w:rFonts w:ascii="Arial" w:hAnsi="Arial" w:cs="Arial"/>
                <w:sz w:val="22"/>
                <w:szCs w:val="22"/>
              </w:rPr>
              <w:t>28</w:t>
            </w:r>
          </w:p>
        </w:tc>
        <w:tc>
          <w:tcPr>
            <w:tcW w:w="1177" w:type="dxa"/>
            <w:tcBorders>
              <w:top w:val="nil"/>
              <w:left w:val="nil"/>
              <w:bottom w:val="nil"/>
              <w:right w:val="nil"/>
            </w:tcBorders>
            <w:shd w:val="clear" w:color="auto" w:fill="FFFFFF" w:themeFill="background1"/>
            <w:noWrap/>
            <w:vAlign w:val="bottom"/>
            <w:hideMark/>
          </w:tcPr>
          <w:p w14:paraId="467440FD" w14:textId="191C9D99" w:rsidR="00A3597E" w:rsidRPr="009C5D28" w:rsidRDefault="00A3597E" w:rsidP="00F8589D">
            <w:pPr>
              <w:jc w:val="center"/>
              <w:rPr>
                <w:rFonts w:ascii="Arial" w:hAnsi="Arial" w:cs="Arial"/>
                <w:sz w:val="22"/>
                <w:szCs w:val="22"/>
              </w:rPr>
            </w:pPr>
            <w:r w:rsidRPr="009C5D28">
              <w:rPr>
                <w:rFonts w:ascii="Arial" w:hAnsi="Arial" w:cs="Arial"/>
                <w:sz w:val="22"/>
                <w:szCs w:val="22"/>
              </w:rPr>
              <w:t>49</w:t>
            </w:r>
          </w:p>
        </w:tc>
        <w:tc>
          <w:tcPr>
            <w:tcW w:w="1149" w:type="dxa"/>
            <w:tcBorders>
              <w:top w:val="nil"/>
              <w:left w:val="nil"/>
              <w:bottom w:val="nil"/>
              <w:right w:val="nil"/>
            </w:tcBorders>
            <w:shd w:val="clear" w:color="auto" w:fill="FFFFFF" w:themeFill="background1"/>
          </w:tcPr>
          <w:p w14:paraId="74EDF463" w14:textId="554C5255" w:rsidR="00A3597E" w:rsidRPr="009C5D28" w:rsidRDefault="00BE5801" w:rsidP="00F8589D">
            <w:pPr>
              <w:jc w:val="center"/>
              <w:rPr>
                <w:rFonts w:ascii="Arial" w:hAnsi="Arial" w:cs="Arial"/>
                <w:sz w:val="22"/>
                <w:szCs w:val="22"/>
              </w:rPr>
            </w:pPr>
            <w:r w:rsidRPr="009C5D28">
              <w:rPr>
                <w:rFonts w:ascii="Arial" w:hAnsi="Arial" w:cs="Arial"/>
                <w:sz w:val="22"/>
                <w:szCs w:val="22"/>
              </w:rPr>
              <w:t>36</w:t>
            </w:r>
            <w:r w:rsidR="00A3597E" w:rsidRPr="009C5D28">
              <w:rPr>
                <w:rFonts w:ascii="Arial" w:hAnsi="Arial" w:cs="Arial"/>
                <w:sz w:val="22"/>
                <w:szCs w:val="22"/>
              </w:rPr>
              <w:t>%</w:t>
            </w:r>
          </w:p>
        </w:tc>
        <w:tc>
          <w:tcPr>
            <w:tcW w:w="1177" w:type="dxa"/>
            <w:tcBorders>
              <w:top w:val="nil"/>
              <w:left w:val="nil"/>
              <w:bottom w:val="nil"/>
              <w:right w:val="nil"/>
            </w:tcBorders>
            <w:shd w:val="clear" w:color="auto" w:fill="FFFFFF" w:themeFill="background1"/>
          </w:tcPr>
          <w:p w14:paraId="67C568EE" w14:textId="395A8E5C" w:rsidR="00A3597E" w:rsidRPr="009C5D28" w:rsidRDefault="00BE5801" w:rsidP="00F8589D">
            <w:pPr>
              <w:jc w:val="center"/>
              <w:rPr>
                <w:rFonts w:ascii="Arial" w:hAnsi="Arial" w:cs="Arial"/>
                <w:sz w:val="22"/>
                <w:szCs w:val="22"/>
              </w:rPr>
            </w:pPr>
            <w:r w:rsidRPr="009C5D28">
              <w:rPr>
                <w:rFonts w:ascii="Arial" w:hAnsi="Arial" w:cs="Arial"/>
                <w:sz w:val="22"/>
                <w:szCs w:val="22"/>
              </w:rPr>
              <w:t>64</w:t>
            </w:r>
            <w:r w:rsidR="00A3597E" w:rsidRPr="009C5D28">
              <w:rPr>
                <w:rFonts w:ascii="Arial" w:hAnsi="Arial" w:cs="Arial"/>
                <w:sz w:val="22"/>
                <w:szCs w:val="22"/>
              </w:rPr>
              <w:t>%</w:t>
            </w:r>
          </w:p>
        </w:tc>
      </w:tr>
      <w:tr w:rsidR="00A3597E" w:rsidRPr="00B16D5A" w14:paraId="6E10B41F" w14:textId="77777777" w:rsidTr="00711BF7">
        <w:trPr>
          <w:trHeight w:hRule="exact" w:val="397"/>
        </w:trPr>
        <w:tc>
          <w:tcPr>
            <w:tcW w:w="1992" w:type="dxa"/>
            <w:tcBorders>
              <w:top w:val="nil"/>
              <w:left w:val="nil"/>
              <w:bottom w:val="nil"/>
              <w:right w:val="nil"/>
            </w:tcBorders>
            <w:shd w:val="clear" w:color="auto" w:fill="FFFFFF" w:themeFill="background1"/>
            <w:noWrap/>
            <w:vAlign w:val="bottom"/>
            <w:hideMark/>
          </w:tcPr>
          <w:p w14:paraId="04E7F4A8" w14:textId="77777777" w:rsidR="00A3597E" w:rsidRPr="00B16D5A" w:rsidRDefault="00A3597E" w:rsidP="00764560">
            <w:pPr>
              <w:jc w:val="both"/>
              <w:rPr>
                <w:rFonts w:ascii="Arial" w:hAnsi="Arial" w:cs="Arial"/>
              </w:rPr>
            </w:pPr>
            <w:r w:rsidRPr="00B16D5A">
              <w:rPr>
                <w:rFonts w:ascii="Arial" w:hAnsi="Arial" w:cs="Arial"/>
              </w:rPr>
              <w:t>Lower middle</w:t>
            </w:r>
          </w:p>
        </w:tc>
        <w:tc>
          <w:tcPr>
            <w:tcW w:w="1127" w:type="dxa"/>
            <w:tcBorders>
              <w:top w:val="nil"/>
              <w:left w:val="nil"/>
              <w:bottom w:val="nil"/>
              <w:right w:val="nil"/>
            </w:tcBorders>
            <w:shd w:val="clear" w:color="auto" w:fill="FFFFFF" w:themeFill="background1"/>
            <w:noWrap/>
            <w:vAlign w:val="bottom"/>
            <w:hideMark/>
          </w:tcPr>
          <w:p w14:paraId="51A191B2" w14:textId="3244BB03" w:rsidR="00A3597E" w:rsidRPr="009C5D28" w:rsidRDefault="00A3597E" w:rsidP="00F8589D">
            <w:pPr>
              <w:jc w:val="center"/>
              <w:rPr>
                <w:rFonts w:ascii="Arial" w:hAnsi="Arial" w:cs="Arial"/>
                <w:sz w:val="22"/>
                <w:szCs w:val="22"/>
              </w:rPr>
            </w:pPr>
            <w:r w:rsidRPr="009C5D28">
              <w:rPr>
                <w:rFonts w:ascii="Arial" w:hAnsi="Arial" w:cs="Arial"/>
                <w:sz w:val="22"/>
                <w:szCs w:val="22"/>
              </w:rPr>
              <w:t>£12.60</w:t>
            </w:r>
          </w:p>
        </w:tc>
        <w:tc>
          <w:tcPr>
            <w:tcW w:w="1177" w:type="dxa"/>
            <w:tcBorders>
              <w:top w:val="nil"/>
              <w:left w:val="nil"/>
              <w:bottom w:val="nil"/>
              <w:right w:val="nil"/>
            </w:tcBorders>
            <w:shd w:val="clear" w:color="auto" w:fill="FFFFFF" w:themeFill="background1"/>
            <w:noWrap/>
            <w:vAlign w:val="bottom"/>
            <w:hideMark/>
          </w:tcPr>
          <w:p w14:paraId="3E5F2A23" w14:textId="36C6CF75" w:rsidR="00A3597E" w:rsidRPr="009C5D28" w:rsidRDefault="00A3597E" w:rsidP="00F8589D">
            <w:pPr>
              <w:jc w:val="center"/>
              <w:rPr>
                <w:rFonts w:ascii="Arial" w:hAnsi="Arial" w:cs="Arial"/>
                <w:sz w:val="22"/>
                <w:szCs w:val="22"/>
              </w:rPr>
            </w:pPr>
            <w:r w:rsidRPr="009C5D28">
              <w:rPr>
                <w:rFonts w:ascii="Arial" w:hAnsi="Arial" w:cs="Arial"/>
                <w:sz w:val="22"/>
                <w:szCs w:val="22"/>
              </w:rPr>
              <w:t>£12.60</w:t>
            </w:r>
          </w:p>
        </w:tc>
        <w:tc>
          <w:tcPr>
            <w:tcW w:w="1273" w:type="dxa"/>
            <w:tcBorders>
              <w:top w:val="nil"/>
              <w:left w:val="nil"/>
              <w:bottom w:val="nil"/>
              <w:right w:val="nil"/>
            </w:tcBorders>
            <w:shd w:val="clear" w:color="auto" w:fill="FFFFFF" w:themeFill="background1"/>
            <w:noWrap/>
            <w:vAlign w:val="bottom"/>
            <w:hideMark/>
          </w:tcPr>
          <w:p w14:paraId="63E05DB3" w14:textId="4C272E05" w:rsidR="00A3597E" w:rsidRPr="009C5D28" w:rsidRDefault="00A3597E" w:rsidP="00F8589D">
            <w:pPr>
              <w:jc w:val="center"/>
              <w:rPr>
                <w:rFonts w:ascii="Arial" w:hAnsi="Arial" w:cs="Arial"/>
                <w:sz w:val="22"/>
                <w:szCs w:val="22"/>
              </w:rPr>
            </w:pPr>
            <w:r w:rsidRPr="009C5D28">
              <w:rPr>
                <w:rFonts w:ascii="Arial" w:hAnsi="Arial" w:cs="Arial"/>
                <w:sz w:val="22"/>
                <w:szCs w:val="22"/>
              </w:rPr>
              <w:t>34</w:t>
            </w:r>
          </w:p>
        </w:tc>
        <w:tc>
          <w:tcPr>
            <w:tcW w:w="1177" w:type="dxa"/>
            <w:tcBorders>
              <w:top w:val="nil"/>
              <w:left w:val="nil"/>
              <w:bottom w:val="nil"/>
              <w:right w:val="nil"/>
            </w:tcBorders>
            <w:shd w:val="clear" w:color="auto" w:fill="FFFFFF" w:themeFill="background1"/>
            <w:noWrap/>
            <w:vAlign w:val="bottom"/>
            <w:hideMark/>
          </w:tcPr>
          <w:p w14:paraId="317785D4" w14:textId="45EBC58F" w:rsidR="00A3597E" w:rsidRPr="009C5D28" w:rsidRDefault="00A3597E" w:rsidP="00F8589D">
            <w:pPr>
              <w:jc w:val="center"/>
              <w:rPr>
                <w:rFonts w:ascii="Arial" w:hAnsi="Arial" w:cs="Arial"/>
                <w:sz w:val="22"/>
                <w:szCs w:val="22"/>
              </w:rPr>
            </w:pPr>
            <w:r w:rsidRPr="009C5D28">
              <w:rPr>
                <w:rFonts w:ascii="Arial" w:hAnsi="Arial" w:cs="Arial"/>
                <w:sz w:val="22"/>
                <w:szCs w:val="22"/>
              </w:rPr>
              <w:t>44</w:t>
            </w:r>
          </w:p>
        </w:tc>
        <w:tc>
          <w:tcPr>
            <w:tcW w:w="1149" w:type="dxa"/>
            <w:tcBorders>
              <w:top w:val="nil"/>
              <w:left w:val="nil"/>
              <w:bottom w:val="nil"/>
              <w:right w:val="nil"/>
            </w:tcBorders>
            <w:shd w:val="clear" w:color="auto" w:fill="FFFFFF" w:themeFill="background1"/>
          </w:tcPr>
          <w:p w14:paraId="5155DBC6" w14:textId="34E2E52B" w:rsidR="00A3597E" w:rsidRPr="009C5D28" w:rsidRDefault="00BE5801" w:rsidP="00F8589D">
            <w:pPr>
              <w:jc w:val="center"/>
              <w:rPr>
                <w:rFonts w:ascii="Arial" w:hAnsi="Arial" w:cs="Arial"/>
                <w:sz w:val="22"/>
                <w:szCs w:val="22"/>
              </w:rPr>
            </w:pPr>
            <w:r w:rsidRPr="009C5D28">
              <w:rPr>
                <w:rFonts w:ascii="Arial" w:hAnsi="Arial" w:cs="Arial"/>
                <w:sz w:val="22"/>
                <w:szCs w:val="22"/>
              </w:rPr>
              <w:t>44</w:t>
            </w:r>
            <w:r w:rsidR="00A3597E" w:rsidRPr="009C5D28">
              <w:rPr>
                <w:rFonts w:ascii="Arial" w:hAnsi="Arial" w:cs="Arial"/>
                <w:sz w:val="22"/>
                <w:szCs w:val="22"/>
              </w:rPr>
              <w:t>%</w:t>
            </w:r>
          </w:p>
        </w:tc>
        <w:tc>
          <w:tcPr>
            <w:tcW w:w="1177" w:type="dxa"/>
            <w:tcBorders>
              <w:top w:val="nil"/>
              <w:left w:val="nil"/>
              <w:bottom w:val="nil"/>
              <w:right w:val="nil"/>
            </w:tcBorders>
            <w:shd w:val="clear" w:color="auto" w:fill="FFFFFF" w:themeFill="background1"/>
          </w:tcPr>
          <w:p w14:paraId="65DD18E3" w14:textId="763C5BF8" w:rsidR="00A3597E" w:rsidRPr="009C5D28" w:rsidRDefault="00BE5801" w:rsidP="00F8589D">
            <w:pPr>
              <w:jc w:val="center"/>
              <w:rPr>
                <w:rFonts w:ascii="Arial" w:hAnsi="Arial" w:cs="Arial"/>
                <w:sz w:val="22"/>
                <w:szCs w:val="22"/>
              </w:rPr>
            </w:pPr>
            <w:r w:rsidRPr="009C5D28">
              <w:rPr>
                <w:rFonts w:ascii="Arial" w:hAnsi="Arial" w:cs="Arial"/>
                <w:sz w:val="22"/>
                <w:szCs w:val="22"/>
              </w:rPr>
              <w:t>56</w:t>
            </w:r>
            <w:r w:rsidR="00A3597E" w:rsidRPr="009C5D28">
              <w:rPr>
                <w:rFonts w:ascii="Arial" w:hAnsi="Arial" w:cs="Arial"/>
                <w:sz w:val="22"/>
                <w:szCs w:val="22"/>
              </w:rPr>
              <w:t>%</w:t>
            </w:r>
          </w:p>
        </w:tc>
      </w:tr>
      <w:tr w:rsidR="00A3597E" w:rsidRPr="00B16D5A" w14:paraId="38D93EF6" w14:textId="77777777" w:rsidTr="00711BF7">
        <w:trPr>
          <w:trHeight w:hRule="exact" w:val="397"/>
        </w:trPr>
        <w:tc>
          <w:tcPr>
            <w:tcW w:w="1992" w:type="dxa"/>
            <w:tcBorders>
              <w:top w:val="nil"/>
              <w:left w:val="nil"/>
              <w:bottom w:val="nil"/>
              <w:right w:val="nil"/>
            </w:tcBorders>
            <w:shd w:val="clear" w:color="auto" w:fill="FFFFFF" w:themeFill="background1"/>
            <w:noWrap/>
            <w:vAlign w:val="bottom"/>
            <w:hideMark/>
          </w:tcPr>
          <w:p w14:paraId="11DB0C8A" w14:textId="77777777" w:rsidR="00A3597E" w:rsidRPr="00B16D5A" w:rsidRDefault="00A3597E" w:rsidP="00764560">
            <w:pPr>
              <w:jc w:val="both"/>
              <w:rPr>
                <w:rFonts w:ascii="Arial" w:hAnsi="Arial" w:cs="Arial"/>
              </w:rPr>
            </w:pPr>
            <w:r w:rsidRPr="00B16D5A">
              <w:rPr>
                <w:rFonts w:ascii="Arial" w:hAnsi="Arial" w:cs="Arial"/>
              </w:rPr>
              <w:t>Upper middle</w:t>
            </w:r>
          </w:p>
        </w:tc>
        <w:tc>
          <w:tcPr>
            <w:tcW w:w="1127" w:type="dxa"/>
            <w:tcBorders>
              <w:top w:val="nil"/>
              <w:left w:val="nil"/>
              <w:bottom w:val="nil"/>
              <w:right w:val="nil"/>
            </w:tcBorders>
            <w:shd w:val="clear" w:color="auto" w:fill="FFFFFF" w:themeFill="background1"/>
            <w:noWrap/>
            <w:vAlign w:val="bottom"/>
            <w:hideMark/>
          </w:tcPr>
          <w:p w14:paraId="1B7CC69A" w14:textId="21506249" w:rsidR="00A3597E" w:rsidRPr="009C5D28" w:rsidRDefault="00A3597E" w:rsidP="00F8589D">
            <w:pPr>
              <w:jc w:val="center"/>
              <w:rPr>
                <w:rFonts w:ascii="Arial" w:hAnsi="Arial" w:cs="Arial"/>
                <w:sz w:val="22"/>
                <w:szCs w:val="22"/>
              </w:rPr>
            </w:pPr>
            <w:r w:rsidRPr="009C5D28">
              <w:rPr>
                <w:rFonts w:ascii="Arial" w:hAnsi="Arial" w:cs="Arial"/>
                <w:sz w:val="22"/>
                <w:szCs w:val="22"/>
              </w:rPr>
              <w:t>£12.60</w:t>
            </w:r>
          </w:p>
        </w:tc>
        <w:tc>
          <w:tcPr>
            <w:tcW w:w="1177" w:type="dxa"/>
            <w:tcBorders>
              <w:top w:val="nil"/>
              <w:left w:val="nil"/>
              <w:bottom w:val="nil"/>
              <w:right w:val="nil"/>
            </w:tcBorders>
            <w:shd w:val="clear" w:color="auto" w:fill="FFFFFF" w:themeFill="background1"/>
            <w:noWrap/>
            <w:vAlign w:val="bottom"/>
            <w:hideMark/>
          </w:tcPr>
          <w:p w14:paraId="1CDBCBD4" w14:textId="14B142F5" w:rsidR="00A3597E" w:rsidRPr="009C5D28" w:rsidRDefault="00A3597E" w:rsidP="00F8589D">
            <w:pPr>
              <w:jc w:val="center"/>
              <w:rPr>
                <w:rFonts w:ascii="Arial" w:hAnsi="Arial" w:cs="Arial"/>
                <w:sz w:val="22"/>
                <w:szCs w:val="22"/>
              </w:rPr>
            </w:pPr>
            <w:r w:rsidRPr="009C5D28">
              <w:rPr>
                <w:rFonts w:ascii="Arial" w:hAnsi="Arial" w:cs="Arial"/>
                <w:sz w:val="22"/>
                <w:szCs w:val="22"/>
              </w:rPr>
              <w:t>£12.60</w:t>
            </w:r>
          </w:p>
        </w:tc>
        <w:tc>
          <w:tcPr>
            <w:tcW w:w="1273" w:type="dxa"/>
            <w:tcBorders>
              <w:top w:val="nil"/>
              <w:left w:val="nil"/>
              <w:bottom w:val="nil"/>
              <w:right w:val="nil"/>
            </w:tcBorders>
            <w:shd w:val="clear" w:color="auto" w:fill="FFFFFF" w:themeFill="background1"/>
            <w:noWrap/>
            <w:vAlign w:val="bottom"/>
            <w:hideMark/>
          </w:tcPr>
          <w:p w14:paraId="37273B3D" w14:textId="7EB5FA79" w:rsidR="00A3597E" w:rsidRPr="009C5D28" w:rsidRDefault="00A3597E" w:rsidP="00F8589D">
            <w:pPr>
              <w:jc w:val="center"/>
              <w:rPr>
                <w:rFonts w:ascii="Arial" w:hAnsi="Arial" w:cs="Arial"/>
                <w:sz w:val="22"/>
                <w:szCs w:val="22"/>
              </w:rPr>
            </w:pPr>
            <w:r w:rsidRPr="009C5D28">
              <w:rPr>
                <w:rFonts w:ascii="Arial" w:hAnsi="Arial" w:cs="Arial"/>
                <w:sz w:val="22"/>
                <w:szCs w:val="22"/>
              </w:rPr>
              <w:t>36</w:t>
            </w:r>
          </w:p>
        </w:tc>
        <w:tc>
          <w:tcPr>
            <w:tcW w:w="1177" w:type="dxa"/>
            <w:tcBorders>
              <w:top w:val="nil"/>
              <w:left w:val="nil"/>
              <w:bottom w:val="nil"/>
              <w:right w:val="nil"/>
            </w:tcBorders>
            <w:shd w:val="clear" w:color="auto" w:fill="FFFFFF" w:themeFill="background1"/>
            <w:noWrap/>
            <w:vAlign w:val="bottom"/>
            <w:hideMark/>
          </w:tcPr>
          <w:p w14:paraId="771867FA" w14:textId="498FEF3F" w:rsidR="00A3597E" w:rsidRPr="009C5D28" w:rsidRDefault="00BE5801" w:rsidP="00F8589D">
            <w:pPr>
              <w:jc w:val="center"/>
              <w:rPr>
                <w:rFonts w:ascii="Arial" w:hAnsi="Arial" w:cs="Arial"/>
                <w:sz w:val="22"/>
                <w:szCs w:val="22"/>
              </w:rPr>
            </w:pPr>
            <w:r w:rsidRPr="009C5D28">
              <w:rPr>
                <w:rFonts w:ascii="Arial" w:hAnsi="Arial" w:cs="Arial"/>
                <w:sz w:val="22"/>
                <w:szCs w:val="22"/>
              </w:rPr>
              <w:t>41</w:t>
            </w:r>
          </w:p>
        </w:tc>
        <w:tc>
          <w:tcPr>
            <w:tcW w:w="1149" w:type="dxa"/>
            <w:tcBorders>
              <w:top w:val="nil"/>
              <w:left w:val="nil"/>
              <w:bottom w:val="nil"/>
              <w:right w:val="nil"/>
            </w:tcBorders>
            <w:shd w:val="clear" w:color="auto" w:fill="FFFFFF" w:themeFill="background1"/>
          </w:tcPr>
          <w:p w14:paraId="7E59D355" w14:textId="16CEC807" w:rsidR="00A3597E" w:rsidRPr="009C5D28" w:rsidRDefault="00BE5801" w:rsidP="00F8589D">
            <w:pPr>
              <w:jc w:val="center"/>
              <w:rPr>
                <w:rFonts w:ascii="Arial" w:hAnsi="Arial" w:cs="Arial"/>
                <w:sz w:val="22"/>
                <w:szCs w:val="22"/>
              </w:rPr>
            </w:pPr>
            <w:r w:rsidRPr="009C5D28">
              <w:rPr>
                <w:rFonts w:ascii="Arial" w:hAnsi="Arial" w:cs="Arial"/>
                <w:sz w:val="22"/>
                <w:szCs w:val="22"/>
              </w:rPr>
              <w:t>47</w:t>
            </w:r>
            <w:r w:rsidR="00A3597E" w:rsidRPr="009C5D28">
              <w:rPr>
                <w:rFonts w:ascii="Arial" w:hAnsi="Arial" w:cs="Arial"/>
                <w:sz w:val="22"/>
                <w:szCs w:val="22"/>
              </w:rPr>
              <w:t>%</w:t>
            </w:r>
          </w:p>
        </w:tc>
        <w:tc>
          <w:tcPr>
            <w:tcW w:w="1177" w:type="dxa"/>
            <w:tcBorders>
              <w:top w:val="nil"/>
              <w:left w:val="nil"/>
              <w:bottom w:val="nil"/>
              <w:right w:val="nil"/>
            </w:tcBorders>
            <w:shd w:val="clear" w:color="auto" w:fill="FFFFFF" w:themeFill="background1"/>
          </w:tcPr>
          <w:p w14:paraId="570D6B46" w14:textId="6FC1493F" w:rsidR="00A3597E" w:rsidRPr="009C5D28" w:rsidRDefault="00BE5801" w:rsidP="00F8589D">
            <w:pPr>
              <w:jc w:val="center"/>
              <w:rPr>
                <w:rFonts w:ascii="Arial" w:hAnsi="Arial" w:cs="Arial"/>
                <w:sz w:val="22"/>
                <w:szCs w:val="22"/>
              </w:rPr>
            </w:pPr>
            <w:r w:rsidRPr="009C5D28">
              <w:rPr>
                <w:rFonts w:ascii="Arial" w:hAnsi="Arial" w:cs="Arial"/>
                <w:sz w:val="22"/>
                <w:szCs w:val="22"/>
              </w:rPr>
              <w:t>53</w:t>
            </w:r>
            <w:r w:rsidR="00A3597E" w:rsidRPr="009C5D28">
              <w:rPr>
                <w:rFonts w:ascii="Arial" w:hAnsi="Arial" w:cs="Arial"/>
                <w:sz w:val="22"/>
                <w:szCs w:val="22"/>
              </w:rPr>
              <w:t>%</w:t>
            </w:r>
          </w:p>
        </w:tc>
      </w:tr>
      <w:tr w:rsidR="00A3597E" w:rsidRPr="00B16D5A" w14:paraId="79D32C8F" w14:textId="77777777" w:rsidTr="0004037D">
        <w:trPr>
          <w:trHeight w:hRule="exact" w:val="397"/>
        </w:trPr>
        <w:tc>
          <w:tcPr>
            <w:tcW w:w="1992" w:type="dxa"/>
            <w:tcBorders>
              <w:top w:val="nil"/>
              <w:left w:val="nil"/>
              <w:bottom w:val="nil"/>
              <w:right w:val="nil"/>
            </w:tcBorders>
            <w:shd w:val="clear" w:color="auto" w:fill="FFFFFF" w:themeFill="background1"/>
            <w:noWrap/>
            <w:vAlign w:val="bottom"/>
            <w:hideMark/>
          </w:tcPr>
          <w:p w14:paraId="015137BE" w14:textId="77777777" w:rsidR="00A3597E" w:rsidRPr="00B16D5A" w:rsidRDefault="00A3597E" w:rsidP="00764560">
            <w:pPr>
              <w:jc w:val="both"/>
              <w:rPr>
                <w:rFonts w:ascii="Arial" w:hAnsi="Arial" w:cs="Arial"/>
              </w:rPr>
            </w:pPr>
            <w:r w:rsidRPr="00B16D5A">
              <w:rPr>
                <w:rFonts w:ascii="Arial" w:hAnsi="Arial" w:cs="Arial"/>
              </w:rPr>
              <w:t>Upper hr rate</w:t>
            </w:r>
          </w:p>
        </w:tc>
        <w:tc>
          <w:tcPr>
            <w:tcW w:w="1127" w:type="dxa"/>
            <w:tcBorders>
              <w:top w:val="nil"/>
              <w:left w:val="nil"/>
              <w:bottom w:val="single" w:sz="4" w:space="0" w:color="auto"/>
              <w:right w:val="nil"/>
            </w:tcBorders>
            <w:shd w:val="clear" w:color="auto" w:fill="FFFFFF" w:themeFill="background1"/>
            <w:noWrap/>
            <w:vAlign w:val="bottom"/>
            <w:hideMark/>
          </w:tcPr>
          <w:p w14:paraId="23D4155E" w14:textId="1E0B0A23" w:rsidR="00A3597E" w:rsidRPr="009C5D28" w:rsidRDefault="00A3597E" w:rsidP="00F8589D">
            <w:pPr>
              <w:jc w:val="center"/>
              <w:rPr>
                <w:rFonts w:ascii="Arial" w:hAnsi="Arial" w:cs="Arial"/>
                <w:sz w:val="22"/>
                <w:szCs w:val="22"/>
              </w:rPr>
            </w:pPr>
            <w:r w:rsidRPr="009C5D28">
              <w:rPr>
                <w:rFonts w:ascii="Arial" w:hAnsi="Arial" w:cs="Arial"/>
                <w:sz w:val="22"/>
                <w:szCs w:val="22"/>
              </w:rPr>
              <w:t>£16.24</w:t>
            </w:r>
          </w:p>
        </w:tc>
        <w:tc>
          <w:tcPr>
            <w:tcW w:w="1177" w:type="dxa"/>
            <w:tcBorders>
              <w:top w:val="nil"/>
              <w:left w:val="nil"/>
              <w:bottom w:val="single" w:sz="4" w:space="0" w:color="auto"/>
              <w:right w:val="nil"/>
            </w:tcBorders>
            <w:shd w:val="clear" w:color="auto" w:fill="FFFFFF" w:themeFill="background1"/>
            <w:noWrap/>
            <w:vAlign w:val="bottom"/>
            <w:hideMark/>
          </w:tcPr>
          <w:p w14:paraId="1A448A79" w14:textId="2DE36783" w:rsidR="00A3597E" w:rsidRPr="009C5D28" w:rsidRDefault="00A3597E" w:rsidP="00F8589D">
            <w:pPr>
              <w:jc w:val="center"/>
              <w:rPr>
                <w:rFonts w:ascii="Arial" w:hAnsi="Arial" w:cs="Arial"/>
                <w:sz w:val="22"/>
                <w:szCs w:val="22"/>
              </w:rPr>
            </w:pPr>
            <w:r w:rsidRPr="009C5D28">
              <w:rPr>
                <w:rFonts w:ascii="Arial" w:hAnsi="Arial" w:cs="Arial"/>
                <w:sz w:val="22"/>
                <w:szCs w:val="22"/>
              </w:rPr>
              <w:t>£15.85</w:t>
            </w:r>
          </w:p>
        </w:tc>
        <w:tc>
          <w:tcPr>
            <w:tcW w:w="1273" w:type="dxa"/>
            <w:tcBorders>
              <w:top w:val="nil"/>
              <w:left w:val="nil"/>
              <w:bottom w:val="nil"/>
              <w:right w:val="nil"/>
            </w:tcBorders>
            <w:shd w:val="clear" w:color="auto" w:fill="FFFFFF" w:themeFill="background1"/>
            <w:noWrap/>
            <w:vAlign w:val="bottom"/>
            <w:hideMark/>
          </w:tcPr>
          <w:p w14:paraId="52810256" w14:textId="75F6CA8B" w:rsidR="00A3597E" w:rsidRPr="009C5D28" w:rsidRDefault="00A3597E" w:rsidP="00F8589D">
            <w:pPr>
              <w:jc w:val="center"/>
              <w:rPr>
                <w:rFonts w:ascii="Arial" w:hAnsi="Arial" w:cs="Arial"/>
                <w:sz w:val="22"/>
                <w:szCs w:val="22"/>
              </w:rPr>
            </w:pPr>
            <w:r w:rsidRPr="009C5D28">
              <w:rPr>
                <w:rFonts w:ascii="Arial" w:hAnsi="Arial" w:cs="Arial"/>
                <w:sz w:val="22"/>
                <w:szCs w:val="22"/>
              </w:rPr>
              <w:t>32</w:t>
            </w:r>
          </w:p>
        </w:tc>
        <w:tc>
          <w:tcPr>
            <w:tcW w:w="1177" w:type="dxa"/>
            <w:tcBorders>
              <w:top w:val="nil"/>
              <w:left w:val="nil"/>
              <w:bottom w:val="nil"/>
              <w:right w:val="nil"/>
            </w:tcBorders>
            <w:shd w:val="clear" w:color="auto" w:fill="FFFFFF" w:themeFill="background1"/>
            <w:noWrap/>
            <w:vAlign w:val="bottom"/>
            <w:hideMark/>
          </w:tcPr>
          <w:p w14:paraId="3A436C2E" w14:textId="1505E355" w:rsidR="00A3597E" w:rsidRPr="009C5D28" w:rsidRDefault="00BE5801" w:rsidP="00F8589D">
            <w:pPr>
              <w:jc w:val="center"/>
              <w:rPr>
                <w:rFonts w:ascii="Arial" w:hAnsi="Arial" w:cs="Arial"/>
                <w:sz w:val="22"/>
                <w:szCs w:val="22"/>
              </w:rPr>
            </w:pPr>
            <w:r w:rsidRPr="009C5D28">
              <w:rPr>
                <w:rFonts w:ascii="Arial" w:hAnsi="Arial" w:cs="Arial"/>
                <w:sz w:val="22"/>
                <w:szCs w:val="22"/>
              </w:rPr>
              <w:t>45</w:t>
            </w:r>
          </w:p>
        </w:tc>
        <w:tc>
          <w:tcPr>
            <w:tcW w:w="1149" w:type="dxa"/>
            <w:tcBorders>
              <w:top w:val="nil"/>
              <w:left w:val="nil"/>
              <w:bottom w:val="single" w:sz="4" w:space="0" w:color="auto"/>
              <w:right w:val="nil"/>
            </w:tcBorders>
            <w:shd w:val="clear" w:color="auto" w:fill="FFFFFF" w:themeFill="background1"/>
          </w:tcPr>
          <w:p w14:paraId="4799F514" w14:textId="57A8A200" w:rsidR="00A3597E" w:rsidRPr="009C5D28" w:rsidRDefault="00BE5801" w:rsidP="00F8589D">
            <w:pPr>
              <w:jc w:val="center"/>
              <w:rPr>
                <w:rFonts w:ascii="Arial" w:hAnsi="Arial" w:cs="Arial"/>
                <w:sz w:val="22"/>
                <w:szCs w:val="22"/>
              </w:rPr>
            </w:pPr>
            <w:r w:rsidRPr="009C5D28">
              <w:rPr>
                <w:rFonts w:ascii="Arial" w:hAnsi="Arial" w:cs="Arial"/>
                <w:sz w:val="22"/>
                <w:szCs w:val="22"/>
              </w:rPr>
              <w:t>42</w:t>
            </w:r>
            <w:r w:rsidR="00A3597E" w:rsidRPr="009C5D28">
              <w:rPr>
                <w:rFonts w:ascii="Arial" w:hAnsi="Arial" w:cs="Arial"/>
                <w:sz w:val="22"/>
                <w:szCs w:val="22"/>
              </w:rPr>
              <w:t>%</w:t>
            </w:r>
          </w:p>
        </w:tc>
        <w:tc>
          <w:tcPr>
            <w:tcW w:w="1177" w:type="dxa"/>
            <w:tcBorders>
              <w:top w:val="nil"/>
              <w:left w:val="nil"/>
              <w:bottom w:val="single" w:sz="4" w:space="0" w:color="auto"/>
              <w:right w:val="nil"/>
            </w:tcBorders>
            <w:shd w:val="clear" w:color="auto" w:fill="FFFFFF" w:themeFill="background1"/>
          </w:tcPr>
          <w:p w14:paraId="785BEE55" w14:textId="5A175EE3" w:rsidR="00A3597E" w:rsidRPr="009C5D28" w:rsidRDefault="00BE5801" w:rsidP="00F8589D">
            <w:pPr>
              <w:jc w:val="center"/>
              <w:rPr>
                <w:rFonts w:ascii="Arial" w:hAnsi="Arial" w:cs="Arial"/>
                <w:sz w:val="22"/>
                <w:szCs w:val="22"/>
              </w:rPr>
            </w:pPr>
            <w:r w:rsidRPr="009C5D28">
              <w:rPr>
                <w:rFonts w:ascii="Arial" w:hAnsi="Arial" w:cs="Arial"/>
                <w:sz w:val="22"/>
                <w:szCs w:val="22"/>
              </w:rPr>
              <w:t>58</w:t>
            </w:r>
            <w:r w:rsidR="00A3597E" w:rsidRPr="009C5D28">
              <w:rPr>
                <w:rFonts w:ascii="Arial" w:hAnsi="Arial" w:cs="Arial"/>
                <w:sz w:val="22"/>
                <w:szCs w:val="22"/>
              </w:rPr>
              <w:t>%</w:t>
            </w:r>
          </w:p>
        </w:tc>
      </w:tr>
      <w:tr w:rsidR="00A3597E" w:rsidRPr="00B16D5A" w14:paraId="4D08F31D" w14:textId="77777777" w:rsidTr="0004037D">
        <w:trPr>
          <w:trHeight w:hRule="exact" w:val="397"/>
        </w:trPr>
        <w:tc>
          <w:tcPr>
            <w:tcW w:w="1992" w:type="dxa"/>
            <w:tcBorders>
              <w:top w:val="nil"/>
              <w:left w:val="nil"/>
              <w:bottom w:val="nil"/>
              <w:right w:val="nil"/>
            </w:tcBorders>
            <w:shd w:val="clear" w:color="auto" w:fill="FFFFFF" w:themeFill="background1"/>
            <w:noWrap/>
            <w:vAlign w:val="bottom"/>
            <w:hideMark/>
          </w:tcPr>
          <w:p w14:paraId="3561698E" w14:textId="77777777" w:rsidR="00A3597E" w:rsidRPr="00B16D5A" w:rsidRDefault="00A3597E" w:rsidP="00764560">
            <w:pPr>
              <w:jc w:val="both"/>
              <w:rPr>
                <w:rFonts w:ascii="Arial" w:hAnsi="Arial" w:cs="Arial"/>
              </w:rPr>
            </w:pPr>
          </w:p>
        </w:tc>
        <w:tc>
          <w:tcPr>
            <w:tcW w:w="1127" w:type="dxa"/>
            <w:tcBorders>
              <w:top w:val="nil"/>
              <w:left w:val="nil"/>
              <w:bottom w:val="nil"/>
              <w:right w:val="nil"/>
            </w:tcBorders>
            <w:shd w:val="clear" w:color="auto" w:fill="FFFFFF" w:themeFill="background1"/>
            <w:noWrap/>
            <w:vAlign w:val="bottom"/>
          </w:tcPr>
          <w:p w14:paraId="751B2CF2" w14:textId="77777777" w:rsidR="00A3597E" w:rsidRPr="009C5D28" w:rsidRDefault="00A3597E" w:rsidP="00764560">
            <w:pPr>
              <w:jc w:val="both"/>
              <w:rPr>
                <w:rFonts w:ascii="Arial" w:hAnsi="Arial" w:cs="Arial"/>
                <w:sz w:val="22"/>
                <w:szCs w:val="22"/>
              </w:rPr>
            </w:pPr>
          </w:p>
        </w:tc>
        <w:tc>
          <w:tcPr>
            <w:tcW w:w="1177" w:type="dxa"/>
            <w:tcBorders>
              <w:top w:val="nil"/>
              <w:left w:val="nil"/>
              <w:bottom w:val="nil"/>
              <w:right w:val="nil"/>
            </w:tcBorders>
            <w:shd w:val="clear" w:color="auto" w:fill="FFFFFF" w:themeFill="background1"/>
            <w:noWrap/>
            <w:vAlign w:val="bottom"/>
          </w:tcPr>
          <w:p w14:paraId="2E98413E" w14:textId="77777777" w:rsidR="00A3597E" w:rsidRPr="009C5D28" w:rsidRDefault="00A3597E" w:rsidP="00764560">
            <w:pPr>
              <w:jc w:val="both"/>
              <w:rPr>
                <w:rFonts w:ascii="Arial" w:hAnsi="Arial" w:cs="Arial"/>
                <w:sz w:val="22"/>
                <w:szCs w:val="22"/>
              </w:rPr>
            </w:pPr>
          </w:p>
        </w:tc>
        <w:tc>
          <w:tcPr>
            <w:tcW w:w="1273" w:type="dxa"/>
            <w:tcBorders>
              <w:top w:val="single" w:sz="4" w:space="0" w:color="auto"/>
              <w:left w:val="nil"/>
              <w:bottom w:val="single" w:sz="4" w:space="0" w:color="auto"/>
              <w:right w:val="nil"/>
            </w:tcBorders>
            <w:shd w:val="clear" w:color="auto" w:fill="FFFFFF" w:themeFill="background1"/>
            <w:noWrap/>
            <w:vAlign w:val="bottom"/>
            <w:hideMark/>
          </w:tcPr>
          <w:p w14:paraId="220BAEC8" w14:textId="6519DBA0" w:rsidR="00A3597E" w:rsidRPr="009C5D28" w:rsidRDefault="00BE5801" w:rsidP="003D0C9F">
            <w:pPr>
              <w:jc w:val="center"/>
              <w:rPr>
                <w:rFonts w:ascii="Arial" w:hAnsi="Arial" w:cs="Arial"/>
                <w:sz w:val="22"/>
                <w:szCs w:val="22"/>
              </w:rPr>
            </w:pPr>
            <w:r w:rsidRPr="009C5D28">
              <w:rPr>
                <w:rFonts w:ascii="Arial" w:hAnsi="Arial" w:cs="Arial"/>
                <w:sz w:val="22"/>
                <w:szCs w:val="22"/>
              </w:rPr>
              <w:t>130</w:t>
            </w:r>
          </w:p>
        </w:tc>
        <w:tc>
          <w:tcPr>
            <w:tcW w:w="1177" w:type="dxa"/>
            <w:tcBorders>
              <w:top w:val="single" w:sz="4" w:space="0" w:color="auto"/>
              <w:left w:val="nil"/>
              <w:bottom w:val="single" w:sz="4" w:space="0" w:color="auto"/>
              <w:right w:val="nil"/>
            </w:tcBorders>
            <w:shd w:val="clear" w:color="auto" w:fill="FFFFFF" w:themeFill="background1"/>
            <w:noWrap/>
            <w:vAlign w:val="bottom"/>
            <w:hideMark/>
          </w:tcPr>
          <w:p w14:paraId="353CFE88" w14:textId="217B39B5" w:rsidR="00A3597E" w:rsidRPr="009C5D28" w:rsidRDefault="00BE5801" w:rsidP="003D0C9F">
            <w:pPr>
              <w:jc w:val="center"/>
              <w:rPr>
                <w:rFonts w:ascii="Arial" w:hAnsi="Arial" w:cs="Arial"/>
                <w:sz w:val="22"/>
                <w:szCs w:val="22"/>
              </w:rPr>
            </w:pPr>
            <w:r w:rsidRPr="009C5D28">
              <w:rPr>
                <w:rFonts w:ascii="Arial" w:hAnsi="Arial" w:cs="Arial"/>
                <w:sz w:val="22"/>
                <w:szCs w:val="22"/>
              </w:rPr>
              <w:t>179</w:t>
            </w:r>
          </w:p>
        </w:tc>
        <w:tc>
          <w:tcPr>
            <w:tcW w:w="1149" w:type="dxa"/>
            <w:tcBorders>
              <w:top w:val="single" w:sz="4" w:space="0" w:color="auto"/>
              <w:left w:val="nil"/>
              <w:right w:val="nil"/>
            </w:tcBorders>
            <w:shd w:val="clear" w:color="auto" w:fill="FFFFFF" w:themeFill="background1"/>
          </w:tcPr>
          <w:p w14:paraId="7FFD7301" w14:textId="77777777" w:rsidR="00A3597E" w:rsidRPr="009C5D28" w:rsidRDefault="00A3597E" w:rsidP="00764560">
            <w:pPr>
              <w:jc w:val="both"/>
              <w:rPr>
                <w:rFonts w:ascii="Arial" w:hAnsi="Arial" w:cs="Arial"/>
                <w:sz w:val="22"/>
                <w:szCs w:val="22"/>
              </w:rPr>
            </w:pPr>
          </w:p>
        </w:tc>
        <w:tc>
          <w:tcPr>
            <w:tcW w:w="1177" w:type="dxa"/>
            <w:tcBorders>
              <w:top w:val="single" w:sz="4" w:space="0" w:color="auto"/>
              <w:left w:val="nil"/>
              <w:right w:val="nil"/>
            </w:tcBorders>
            <w:shd w:val="clear" w:color="auto" w:fill="FFFFFF" w:themeFill="background1"/>
          </w:tcPr>
          <w:p w14:paraId="3931F822" w14:textId="77777777" w:rsidR="00A3597E" w:rsidRPr="009C5D28" w:rsidRDefault="00A3597E" w:rsidP="00764560">
            <w:pPr>
              <w:jc w:val="both"/>
              <w:rPr>
                <w:rFonts w:ascii="Arial" w:hAnsi="Arial" w:cs="Arial"/>
                <w:sz w:val="22"/>
                <w:szCs w:val="22"/>
              </w:rPr>
            </w:pPr>
          </w:p>
        </w:tc>
      </w:tr>
    </w:tbl>
    <w:p w14:paraId="06789EA6" w14:textId="77777777" w:rsidR="00705559" w:rsidRDefault="00705559" w:rsidP="00764560">
      <w:pPr>
        <w:jc w:val="both"/>
        <w:rPr>
          <w:rFonts w:ascii="Arial" w:hAnsi="Arial" w:cs="Arial"/>
        </w:rPr>
      </w:pPr>
    </w:p>
    <w:p w14:paraId="28766839" w14:textId="23C2E284" w:rsidR="00BE5801" w:rsidRPr="00B16D5A" w:rsidRDefault="00705559" w:rsidP="00764560">
      <w:pPr>
        <w:jc w:val="both"/>
        <w:rPr>
          <w:rFonts w:ascii="Arial" w:hAnsi="Arial" w:cs="Arial"/>
        </w:rPr>
      </w:pPr>
      <w:r w:rsidRPr="00B16D5A">
        <w:rPr>
          <w:rFonts w:ascii="Arial" w:hAnsi="Arial" w:cs="Arial"/>
          <w:noProof/>
        </w:rPr>
        <w:lastRenderedPageBreak/>
        <w:drawing>
          <wp:anchor distT="0" distB="0" distL="114300" distR="114300" simplePos="0" relativeHeight="251658240" behindDoc="0" locked="0" layoutInCell="1" allowOverlap="1" wp14:anchorId="0DA17A85" wp14:editId="162FA341">
            <wp:simplePos x="0" y="0"/>
            <wp:positionH relativeFrom="margin">
              <wp:posOffset>715010</wp:posOffset>
            </wp:positionH>
            <wp:positionV relativeFrom="paragraph">
              <wp:posOffset>280035</wp:posOffset>
            </wp:positionV>
            <wp:extent cx="4581525" cy="2190750"/>
            <wp:effectExtent l="0" t="0" r="9525" b="0"/>
            <wp:wrapSquare wrapText="bothSides"/>
            <wp:docPr id="2065868967" name="Chart 1">
              <a:extLst xmlns:a="http://schemas.openxmlformats.org/drawingml/2006/main">
                <a:ext uri="{FF2B5EF4-FFF2-40B4-BE49-F238E27FC236}">
                  <a16:creationId xmlns:a16="http://schemas.microsoft.com/office/drawing/2014/main" id="{7579FF62-100A-7AB3-C355-F438DB40DA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BE5801" w:rsidRPr="00B16D5A">
        <w:rPr>
          <w:rFonts w:ascii="Arial" w:hAnsi="Arial" w:cs="Arial"/>
        </w:rPr>
        <w:br w:type="textWrapping" w:clear="all"/>
      </w:r>
    </w:p>
    <w:p w14:paraId="5BF43C23" w14:textId="77777777" w:rsidR="00705559" w:rsidRDefault="00705559" w:rsidP="00764560">
      <w:pPr>
        <w:pStyle w:val="Heading1"/>
        <w:jc w:val="both"/>
        <w:rPr>
          <w:rFonts w:ascii="Arial" w:eastAsiaTheme="minorHAnsi" w:hAnsi="Arial" w:cs="Arial"/>
          <w:color w:val="auto"/>
          <w:sz w:val="24"/>
          <w:szCs w:val="24"/>
        </w:rPr>
      </w:pPr>
    </w:p>
    <w:p w14:paraId="1B303AE3" w14:textId="77777777" w:rsidR="00705559" w:rsidRDefault="00705559" w:rsidP="00705559"/>
    <w:p w14:paraId="256D23EE" w14:textId="77777777" w:rsidR="00705559" w:rsidRDefault="00705559" w:rsidP="00705559"/>
    <w:p w14:paraId="3EB2EEDB" w14:textId="77777777" w:rsidR="00705559" w:rsidRDefault="00705559" w:rsidP="00705559"/>
    <w:p w14:paraId="28A9D355" w14:textId="77777777" w:rsidR="00705559" w:rsidRDefault="00705559" w:rsidP="00705559"/>
    <w:p w14:paraId="7704397C" w14:textId="77777777" w:rsidR="00705559" w:rsidRDefault="00705559" w:rsidP="00705559"/>
    <w:p w14:paraId="47E01B00" w14:textId="4C6B28A2" w:rsidR="00D11B9B" w:rsidRDefault="00D11B9B" w:rsidP="00764560">
      <w:pPr>
        <w:pStyle w:val="Heading1"/>
        <w:jc w:val="both"/>
        <w:rPr>
          <w:rFonts w:ascii="Arial" w:eastAsiaTheme="minorHAnsi" w:hAnsi="Arial" w:cs="Arial"/>
          <w:color w:val="auto"/>
          <w:sz w:val="24"/>
          <w:szCs w:val="24"/>
        </w:rPr>
      </w:pPr>
      <w:r w:rsidRPr="00D11B9B">
        <w:rPr>
          <w:rFonts w:ascii="Arial" w:eastAsiaTheme="minorHAnsi" w:hAnsi="Arial" w:cs="Arial"/>
          <w:color w:val="auto"/>
          <w:sz w:val="24"/>
          <w:szCs w:val="24"/>
        </w:rPr>
        <w:t>The</w:t>
      </w:r>
      <w:r w:rsidR="00A57015">
        <w:rPr>
          <w:rFonts w:ascii="Arial" w:eastAsiaTheme="minorHAnsi" w:hAnsi="Arial" w:cs="Arial"/>
          <w:color w:val="auto"/>
          <w:sz w:val="24"/>
          <w:szCs w:val="24"/>
        </w:rPr>
        <w:t xml:space="preserve"> </w:t>
      </w:r>
      <w:r w:rsidRPr="00D11B9B">
        <w:rPr>
          <w:rFonts w:ascii="Arial" w:eastAsiaTheme="minorHAnsi" w:hAnsi="Arial" w:cs="Arial"/>
          <w:color w:val="auto"/>
          <w:sz w:val="24"/>
          <w:szCs w:val="24"/>
        </w:rPr>
        <w:t>quartile distribution shows a stable and balanced workforce profile. Women continue to be</w:t>
      </w:r>
      <w:r w:rsidR="008B5B3A">
        <w:rPr>
          <w:rFonts w:ascii="Arial" w:eastAsiaTheme="minorHAnsi" w:hAnsi="Arial" w:cs="Arial"/>
          <w:color w:val="auto"/>
          <w:sz w:val="24"/>
          <w:szCs w:val="24"/>
        </w:rPr>
        <w:t xml:space="preserve"> the majority</w:t>
      </w:r>
      <w:r w:rsidRPr="00D11B9B">
        <w:rPr>
          <w:rFonts w:ascii="Arial" w:eastAsiaTheme="minorHAnsi" w:hAnsi="Arial" w:cs="Arial"/>
          <w:color w:val="auto"/>
          <w:sz w:val="24"/>
          <w:szCs w:val="24"/>
        </w:rPr>
        <w:t xml:space="preserve"> at every level of the organisation, including the upper quartile, reflecting the structure of our services and the opportunities available across PFI. </w:t>
      </w:r>
      <w:r w:rsidR="008B5B3A">
        <w:rPr>
          <w:rFonts w:ascii="Arial" w:eastAsiaTheme="minorHAnsi" w:hAnsi="Arial" w:cs="Arial"/>
          <w:color w:val="auto"/>
          <w:sz w:val="24"/>
          <w:szCs w:val="24"/>
        </w:rPr>
        <w:t xml:space="preserve"> </w:t>
      </w:r>
      <w:r w:rsidRPr="00D11B9B">
        <w:rPr>
          <w:rFonts w:ascii="Arial" w:eastAsiaTheme="minorHAnsi" w:hAnsi="Arial" w:cs="Arial"/>
          <w:color w:val="auto"/>
          <w:sz w:val="24"/>
          <w:szCs w:val="24"/>
        </w:rPr>
        <w:t>As with previous years, there is no evidence of gender</w:t>
      </w:r>
      <w:r w:rsidRPr="00D11B9B">
        <w:rPr>
          <w:rFonts w:ascii="Cambria Math" w:eastAsiaTheme="minorHAnsi" w:hAnsi="Cambria Math" w:cs="Cambria Math"/>
          <w:color w:val="auto"/>
          <w:sz w:val="24"/>
          <w:szCs w:val="24"/>
        </w:rPr>
        <w:t>‑</w:t>
      </w:r>
      <w:r w:rsidRPr="00D11B9B">
        <w:rPr>
          <w:rFonts w:ascii="Arial" w:eastAsiaTheme="minorHAnsi" w:hAnsi="Arial" w:cs="Arial"/>
          <w:color w:val="auto"/>
          <w:sz w:val="24"/>
          <w:szCs w:val="24"/>
        </w:rPr>
        <w:t>related barriers to progression or pay. Representation aligns closely with the roles required to deliver our person</w:t>
      </w:r>
      <w:r w:rsidRPr="00D11B9B">
        <w:rPr>
          <w:rFonts w:ascii="Cambria Math" w:eastAsiaTheme="minorHAnsi" w:hAnsi="Cambria Math" w:cs="Cambria Math"/>
          <w:color w:val="auto"/>
          <w:sz w:val="24"/>
          <w:szCs w:val="24"/>
        </w:rPr>
        <w:t>‑</w:t>
      </w:r>
      <w:r w:rsidRPr="00D11B9B">
        <w:rPr>
          <w:rFonts w:ascii="Arial" w:eastAsiaTheme="minorHAnsi" w:hAnsi="Arial" w:cs="Arial"/>
          <w:color w:val="auto"/>
          <w:sz w:val="24"/>
          <w:szCs w:val="24"/>
        </w:rPr>
        <w:t>centred support.</w:t>
      </w:r>
    </w:p>
    <w:p w14:paraId="18F8072D" w14:textId="7CF7C226" w:rsidR="006662A6" w:rsidRPr="00A06DF3" w:rsidRDefault="006662A6" w:rsidP="00764560">
      <w:pPr>
        <w:pStyle w:val="Heading1"/>
        <w:jc w:val="both"/>
        <w:rPr>
          <w:rFonts w:ascii="Arial" w:hAnsi="Arial" w:cs="Arial"/>
          <w:b/>
          <w:bCs/>
          <w:sz w:val="28"/>
          <w:szCs w:val="28"/>
        </w:rPr>
      </w:pPr>
      <w:r w:rsidRPr="00A06DF3">
        <w:rPr>
          <w:rFonts w:ascii="Arial" w:hAnsi="Arial" w:cs="Arial"/>
          <w:b/>
          <w:bCs/>
          <w:sz w:val="28"/>
          <w:szCs w:val="28"/>
        </w:rPr>
        <w:t>4. Our Commitment</w:t>
      </w:r>
    </w:p>
    <w:p w14:paraId="1D827039" w14:textId="1A2F42A0" w:rsidR="00CC7FAE" w:rsidRDefault="003B5AB4" w:rsidP="00511A3E">
      <w:pPr>
        <w:jc w:val="both"/>
        <w:rPr>
          <w:rFonts w:ascii="Arial" w:hAnsi="Arial" w:cs="Arial"/>
        </w:rPr>
      </w:pPr>
      <w:r w:rsidRPr="00B721A8">
        <w:rPr>
          <w:rFonts w:ascii="Arial" w:hAnsi="Arial" w:cs="Arial"/>
        </w:rPr>
        <w:t>P</w:t>
      </w:r>
      <w:r w:rsidR="00B534E6">
        <w:rPr>
          <w:rFonts w:ascii="Arial" w:hAnsi="Arial" w:cs="Arial"/>
        </w:rPr>
        <w:t>FI</w:t>
      </w:r>
      <w:r w:rsidRPr="00B721A8">
        <w:rPr>
          <w:rFonts w:ascii="Arial" w:hAnsi="Arial" w:cs="Arial"/>
        </w:rPr>
        <w:t xml:space="preserve"> is committed to maintaining a fair, inclusive and supportive working environment where every colleague has the opportunity to contribute, develop and succeed.</w:t>
      </w:r>
      <w:r w:rsidR="00175127">
        <w:rPr>
          <w:rFonts w:ascii="Arial" w:hAnsi="Arial" w:cs="Arial"/>
        </w:rPr>
        <w:t xml:space="preserve"> </w:t>
      </w:r>
      <w:r w:rsidRPr="00B721A8">
        <w:rPr>
          <w:rFonts w:ascii="Arial" w:hAnsi="Arial" w:cs="Arial"/>
        </w:rPr>
        <w:t xml:space="preserve"> As an organisation rooted in person</w:t>
      </w:r>
      <w:r w:rsidRPr="00B721A8">
        <w:rPr>
          <w:rFonts w:ascii="Arial" w:hAnsi="Arial" w:cs="Arial"/>
        </w:rPr>
        <w:noBreakHyphen/>
        <w:t>centred practice, we recognise that equity in recruitment, development and reward is fundamental to providing high</w:t>
      </w:r>
      <w:r w:rsidRPr="00B721A8">
        <w:rPr>
          <w:rFonts w:ascii="Arial" w:hAnsi="Arial" w:cs="Arial"/>
        </w:rPr>
        <w:noBreakHyphen/>
        <w:t>quality support.</w:t>
      </w:r>
      <w:r w:rsidRPr="00B721A8">
        <w:rPr>
          <w:rFonts w:ascii="Arial" w:hAnsi="Arial" w:cs="Arial"/>
        </w:rPr>
        <w:br/>
      </w:r>
      <w:r w:rsidRPr="00B721A8">
        <w:rPr>
          <w:rFonts w:ascii="Arial" w:hAnsi="Arial" w:cs="Arial"/>
        </w:rPr>
        <w:br/>
        <w:t>Our 2025 gender pay results show strong gender parity, and we are committed to preserving this through continued good practice. Over the coming year, we will:</w:t>
      </w:r>
    </w:p>
    <w:p w14:paraId="43416004" w14:textId="77777777" w:rsidR="00CC7FAE" w:rsidRDefault="003B5AB4" w:rsidP="00511A3E">
      <w:pPr>
        <w:pStyle w:val="ListParagraph"/>
        <w:numPr>
          <w:ilvl w:val="0"/>
          <w:numId w:val="1"/>
        </w:numPr>
        <w:jc w:val="both"/>
        <w:rPr>
          <w:rFonts w:ascii="Arial" w:hAnsi="Arial" w:cs="Arial"/>
        </w:rPr>
      </w:pPr>
      <w:r w:rsidRPr="00CC7FAE">
        <w:rPr>
          <w:rFonts w:ascii="Arial" w:hAnsi="Arial" w:cs="Arial"/>
        </w:rPr>
        <w:t>Maintain fair and consistent pay practices across all roles.</w:t>
      </w:r>
    </w:p>
    <w:p w14:paraId="3BCDFFC0" w14:textId="77777777" w:rsidR="00CC7FAE" w:rsidRDefault="003B5AB4" w:rsidP="00511A3E">
      <w:pPr>
        <w:pStyle w:val="ListParagraph"/>
        <w:numPr>
          <w:ilvl w:val="0"/>
          <w:numId w:val="1"/>
        </w:numPr>
        <w:jc w:val="both"/>
        <w:rPr>
          <w:rFonts w:ascii="Arial" w:hAnsi="Arial" w:cs="Arial"/>
        </w:rPr>
      </w:pPr>
      <w:r w:rsidRPr="00CC7FAE">
        <w:rPr>
          <w:rFonts w:ascii="Arial" w:hAnsi="Arial" w:cs="Arial"/>
        </w:rPr>
        <w:t>Support learning, development and progression, ensuring that opportunities are accessible to everyone.</w:t>
      </w:r>
    </w:p>
    <w:p w14:paraId="14A2EEB0" w14:textId="77777777" w:rsidR="00CC7FAE" w:rsidRDefault="003B5AB4" w:rsidP="00511A3E">
      <w:pPr>
        <w:pStyle w:val="ListParagraph"/>
        <w:numPr>
          <w:ilvl w:val="0"/>
          <w:numId w:val="1"/>
        </w:numPr>
        <w:jc w:val="both"/>
        <w:rPr>
          <w:rFonts w:ascii="Arial" w:hAnsi="Arial" w:cs="Arial"/>
        </w:rPr>
      </w:pPr>
      <w:r w:rsidRPr="00CC7FAE">
        <w:rPr>
          <w:rFonts w:ascii="Arial" w:hAnsi="Arial" w:cs="Arial"/>
        </w:rPr>
        <w:t>Promote inclusive and transparent recruitment processes so that our workforce reflects the diversity of the individuals and communities we work alongside.</w:t>
      </w:r>
    </w:p>
    <w:p w14:paraId="09B21732" w14:textId="77777777" w:rsidR="00CC7FAE" w:rsidRDefault="003B5AB4" w:rsidP="00511A3E">
      <w:pPr>
        <w:pStyle w:val="ListParagraph"/>
        <w:numPr>
          <w:ilvl w:val="0"/>
          <w:numId w:val="1"/>
        </w:numPr>
        <w:jc w:val="both"/>
        <w:rPr>
          <w:rFonts w:ascii="Arial" w:hAnsi="Arial" w:cs="Arial"/>
        </w:rPr>
      </w:pPr>
      <w:r w:rsidRPr="00CC7FAE">
        <w:rPr>
          <w:rFonts w:ascii="Arial" w:hAnsi="Arial" w:cs="Arial"/>
        </w:rPr>
        <w:t>Monitor our gender pay position annually, engaging openly with colleagues about our findings.</w:t>
      </w:r>
    </w:p>
    <w:p w14:paraId="054C082C" w14:textId="13653327" w:rsidR="00CC7FAE" w:rsidRDefault="003B5AB4" w:rsidP="00511A3E">
      <w:pPr>
        <w:pStyle w:val="ListParagraph"/>
        <w:numPr>
          <w:ilvl w:val="0"/>
          <w:numId w:val="1"/>
        </w:numPr>
        <w:jc w:val="both"/>
        <w:rPr>
          <w:rFonts w:ascii="Arial" w:hAnsi="Arial" w:cs="Arial"/>
        </w:rPr>
      </w:pPr>
      <w:r w:rsidRPr="00CC7FAE">
        <w:rPr>
          <w:rFonts w:ascii="Arial" w:hAnsi="Arial" w:cs="Arial"/>
        </w:rPr>
        <w:t xml:space="preserve">Sustain a culture where fairness, respect and inclusion are embedded, and where gender is never a barrier to contribution or progression within </w:t>
      </w:r>
      <w:r w:rsidR="0092361D">
        <w:rPr>
          <w:rFonts w:ascii="Arial" w:hAnsi="Arial" w:cs="Arial"/>
        </w:rPr>
        <w:t>PFI.</w:t>
      </w:r>
    </w:p>
    <w:p w14:paraId="37948892" w14:textId="6C90AD0F" w:rsidR="003B5AB4" w:rsidRPr="00CC7FAE" w:rsidRDefault="003B5AB4" w:rsidP="00511A3E">
      <w:pPr>
        <w:jc w:val="both"/>
        <w:rPr>
          <w:rFonts w:ascii="Arial" w:hAnsi="Arial" w:cs="Arial"/>
        </w:rPr>
      </w:pPr>
      <w:r w:rsidRPr="00CC7FAE">
        <w:rPr>
          <w:rFonts w:ascii="Arial" w:hAnsi="Arial" w:cs="Arial"/>
        </w:rPr>
        <w:t>Partners for Inclusion remains committed to ensuring that our workplace continues to be one where all colleagues are valued and supported to thrive.</w:t>
      </w:r>
    </w:p>
    <w:p w14:paraId="30974A7E" w14:textId="77777777" w:rsidR="0092361D" w:rsidRDefault="0092361D" w:rsidP="00511A3E">
      <w:pPr>
        <w:spacing w:after="0"/>
        <w:rPr>
          <w:rFonts w:ascii="Arial" w:hAnsi="Arial" w:cs="Arial"/>
          <w:b/>
          <w:bCs/>
        </w:rPr>
      </w:pPr>
    </w:p>
    <w:p w14:paraId="016B43F6" w14:textId="6C4113EB" w:rsidR="002865F4" w:rsidRPr="00A06DF3" w:rsidRDefault="002865F4" w:rsidP="00511A3E">
      <w:pPr>
        <w:spacing w:after="0"/>
        <w:rPr>
          <w:rFonts w:ascii="Arial" w:hAnsi="Arial" w:cs="Arial"/>
          <w:b/>
          <w:bCs/>
        </w:rPr>
      </w:pPr>
      <w:r w:rsidRPr="00A06DF3">
        <w:rPr>
          <w:rFonts w:ascii="Arial" w:hAnsi="Arial" w:cs="Arial"/>
          <w:b/>
          <w:bCs/>
        </w:rPr>
        <w:t>Rod Leach</w:t>
      </w:r>
    </w:p>
    <w:p w14:paraId="5335BF46" w14:textId="14DFE42B" w:rsidR="00C94C5A" w:rsidRDefault="002865F4" w:rsidP="00A57015">
      <w:pPr>
        <w:spacing w:after="0"/>
        <w:rPr>
          <w:rFonts w:ascii="Arial" w:hAnsi="Arial" w:cs="Arial"/>
          <w:b/>
          <w:bCs/>
        </w:rPr>
      </w:pPr>
      <w:r w:rsidRPr="00A06DF3">
        <w:rPr>
          <w:rFonts w:ascii="Arial" w:hAnsi="Arial" w:cs="Arial"/>
          <w:b/>
          <w:bCs/>
        </w:rPr>
        <w:t>Chief Executive Officer</w:t>
      </w:r>
    </w:p>
    <w:p w14:paraId="228E9BB8" w14:textId="00FF2852" w:rsidR="00036040" w:rsidRDefault="00036040" w:rsidP="00A57015">
      <w:pPr>
        <w:spacing w:after="0"/>
        <w:rPr>
          <w:rFonts w:ascii="Arial" w:hAnsi="Arial" w:cs="Arial"/>
        </w:rPr>
      </w:pPr>
      <w:r w:rsidRPr="00036040">
        <w:rPr>
          <w:rFonts w:ascii="Arial" w:hAnsi="Arial" w:cs="Arial"/>
        </w:rPr>
        <w:t xml:space="preserve">Published </w:t>
      </w:r>
      <w:r w:rsidR="00A70A04">
        <w:rPr>
          <w:rFonts w:ascii="Arial" w:hAnsi="Arial" w:cs="Arial"/>
        </w:rPr>
        <w:t>13</w:t>
      </w:r>
      <w:r w:rsidRPr="00036040">
        <w:rPr>
          <w:rFonts w:ascii="Arial" w:hAnsi="Arial" w:cs="Arial"/>
        </w:rPr>
        <w:t xml:space="preserve"> April 2026</w:t>
      </w:r>
    </w:p>
    <w:p w14:paraId="52E368E6" w14:textId="77777777" w:rsidR="00B66EBE" w:rsidRPr="00377AD1" w:rsidRDefault="00B66EBE" w:rsidP="00B66EBE">
      <w:pPr>
        <w:rPr>
          <w:rFonts w:ascii="Arial" w:hAnsi="Arial" w:cs="Arial"/>
          <w:b/>
          <w:bCs/>
        </w:rPr>
      </w:pPr>
      <w:r w:rsidRPr="00377AD1">
        <w:rPr>
          <w:b/>
          <w:bCs/>
          <w:noProof/>
          <w:u w:val="single"/>
          <w:lang w:eastAsia="en-GB"/>
        </w:rPr>
        <w:lastRenderedPageBreak/>
        <w:drawing>
          <wp:anchor distT="0" distB="0" distL="114300" distR="114300" simplePos="0" relativeHeight="251660288" behindDoc="0" locked="0" layoutInCell="1" allowOverlap="1" wp14:anchorId="0A8A6F51" wp14:editId="10A46146">
            <wp:simplePos x="0" y="0"/>
            <wp:positionH relativeFrom="margin">
              <wp:posOffset>4987925</wp:posOffset>
            </wp:positionH>
            <wp:positionV relativeFrom="margin">
              <wp:posOffset>-262890</wp:posOffset>
            </wp:positionV>
            <wp:extent cx="1120140" cy="457200"/>
            <wp:effectExtent l="0" t="0" r="3810" b="0"/>
            <wp:wrapSquare wrapText="bothSides"/>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014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rPr>
        <w:t>Issued March</w:t>
      </w:r>
      <w:r w:rsidRPr="00377AD1">
        <w:rPr>
          <w:rFonts w:ascii="Arial" w:hAnsi="Arial" w:cs="Arial"/>
          <w:b/>
          <w:bCs/>
        </w:rPr>
        <w:t xml:space="preserve"> 202</w:t>
      </w:r>
      <w:r>
        <w:rPr>
          <w:rFonts w:ascii="Arial" w:hAnsi="Arial" w:cs="Arial"/>
          <w:b/>
          <w:bCs/>
        </w:rPr>
        <w:t>5</w:t>
      </w:r>
    </w:p>
    <w:p w14:paraId="793C2E5F" w14:textId="77777777" w:rsidR="00B66EBE" w:rsidRPr="009C6347" w:rsidRDefault="00B66EBE" w:rsidP="00B66EBE">
      <w:pPr>
        <w:pStyle w:val="NormalWeb"/>
        <w:rPr>
          <w:rFonts w:ascii="Arial" w:hAnsi="Arial" w:cs="Arial"/>
          <w:color w:val="000000"/>
        </w:rPr>
      </w:pPr>
      <w:r w:rsidRPr="00F54610">
        <w:rPr>
          <w:rFonts w:ascii="Arial" w:hAnsi="Arial" w:cs="Arial"/>
          <w:color w:val="000000"/>
        </w:rPr>
        <w:t xml:space="preserve">Any employer with </w:t>
      </w:r>
      <w:r>
        <w:rPr>
          <w:rFonts w:ascii="Arial" w:hAnsi="Arial" w:cs="Arial"/>
          <w:color w:val="000000"/>
        </w:rPr>
        <w:t xml:space="preserve">over </w:t>
      </w:r>
      <w:r w:rsidRPr="00F54610">
        <w:rPr>
          <w:rFonts w:ascii="Arial" w:hAnsi="Arial" w:cs="Arial"/>
          <w:color w:val="000000"/>
        </w:rPr>
        <w:t xml:space="preserve">250 employees must </w:t>
      </w:r>
      <w:r>
        <w:rPr>
          <w:rFonts w:ascii="Arial" w:hAnsi="Arial" w:cs="Arial"/>
          <w:color w:val="000000"/>
        </w:rPr>
        <w:t xml:space="preserve">formally </w:t>
      </w:r>
      <w:r w:rsidRPr="00F54610">
        <w:rPr>
          <w:rFonts w:ascii="Arial" w:hAnsi="Arial" w:cs="Arial"/>
          <w:color w:val="000000"/>
        </w:rPr>
        <w:t>report their gender pay gap data.</w:t>
      </w:r>
      <w:r>
        <w:rPr>
          <w:rFonts w:ascii="Arial" w:hAnsi="Arial" w:cs="Arial"/>
          <w:color w:val="000000"/>
        </w:rPr>
        <w:t xml:space="preserve">  PFI employ 301 staff and information is taken for the month of April 2024 being where the Government’s “snapshot date” falls.</w:t>
      </w:r>
    </w:p>
    <w:p w14:paraId="14CBE528" w14:textId="77777777" w:rsidR="00B66EBE" w:rsidRPr="009C6347" w:rsidRDefault="00B66EBE" w:rsidP="00B66EBE">
      <w:pPr>
        <w:pStyle w:val="NormalWeb"/>
        <w:rPr>
          <w:rFonts w:ascii="Arial" w:hAnsi="Arial" w:cs="Arial"/>
          <w:color w:val="000000"/>
        </w:rPr>
      </w:pPr>
      <w:r w:rsidRPr="009C6347">
        <w:rPr>
          <w:rFonts w:ascii="Arial" w:hAnsi="Arial" w:cs="Arial"/>
          <w:color w:val="000000"/>
        </w:rPr>
        <w:t xml:space="preserve">The median gender pay gap is the % difference between the “middle point” hourly rate of pay of all male full-pay relevant employees and that </w:t>
      </w:r>
      <w:r>
        <w:rPr>
          <w:rFonts w:ascii="Arial" w:hAnsi="Arial" w:cs="Arial"/>
          <w:color w:val="000000"/>
        </w:rPr>
        <w:t>for</w:t>
      </w:r>
      <w:r w:rsidRPr="009C6347">
        <w:rPr>
          <w:rFonts w:ascii="Arial" w:hAnsi="Arial" w:cs="Arial"/>
          <w:color w:val="000000"/>
        </w:rPr>
        <w:t xml:space="preserve"> female</w:t>
      </w:r>
      <w:r>
        <w:rPr>
          <w:rFonts w:ascii="Arial" w:hAnsi="Arial" w:cs="Arial"/>
          <w:color w:val="000000"/>
        </w:rPr>
        <w:t>s</w:t>
      </w:r>
      <w:r w:rsidRPr="009C6347">
        <w:rPr>
          <w:rFonts w:ascii="Arial" w:hAnsi="Arial" w:cs="Arial"/>
          <w:color w:val="000000"/>
        </w:rPr>
        <w:t xml:space="preserve">. </w:t>
      </w:r>
      <w:r>
        <w:rPr>
          <w:rFonts w:ascii="Arial" w:hAnsi="Arial" w:cs="Arial"/>
          <w:color w:val="000000"/>
        </w:rPr>
        <w:t xml:space="preserve"> </w:t>
      </w:r>
      <w:r w:rsidRPr="009C6347">
        <w:rPr>
          <w:rFonts w:ascii="Arial" w:hAnsi="Arial" w:cs="Arial"/>
          <w:color w:val="000000"/>
        </w:rPr>
        <w:t>For example</w:t>
      </w:r>
      <w:r>
        <w:rPr>
          <w:rFonts w:ascii="Arial" w:hAnsi="Arial" w:cs="Arial"/>
          <w:color w:val="000000"/>
        </w:rPr>
        <w:t>,</w:t>
      </w:r>
      <w:r w:rsidRPr="009C6347">
        <w:rPr>
          <w:rFonts w:ascii="Arial" w:hAnsi="Arial" w:cs="Arial"/>
          <w:color w:val="000000"/>
        </w:rPr>
        <w:t xml:space="preserve"> if there were </w:t>
      </w:r>
      <w:r>
        <w:rPr>
          <w:rFonts w:ascii="Arial" w:hAnsi="Arial" w:cs="Arial"/>
          <w:color w:val="000000"/>
        </w:rPr>
        <w:t>100</w:t>
      </w:r>
      <w:r w:rsidRPr="009C6347">
        <w:rPr>
          <w:rFonts w:ascii="Arial" w:hAnsi="Arial" w:cs="Arial"/>
          <w:color w:val="000000"/>
        </w:rPr>
        <w:t xml:space="preserve"> employees</w:t>
      </w:r>
      <w:r>
        <w:rPr>
          <w:rFonts w:ascii="Arial" w:hAnsi="Arial" w:cs="Arial"/>
          <w:color w:val="000000"/>
        </w:rPr>
        <w:t xml:space="preserve"> </w:t>
      </w:r>
      <w:r w:rsidRPr="009C6347">
        <w:rPr>
          <w:rFonts w:ascii="Arial" w:hAnsi="Arial" w:cs="Arial"/>
          <w:color w:val="000000"/>
        </w:rPr>
        <w:t xml:space="preserve">ordered by </w:t>
      </w:r>
      <w:r>
        <w:rPr>
          <w:rFonts w:ascii="Arial" w:hAnsi="Arial" w:cs="Arial"/>
          <w:color w:val="000000"/>
        </w:rPr>
        <w:t xml:space="preserve">their </w:t>
      </w:r>
      <w:r w:rsidRPr="009C6347">
        <w:rPr>
          <w:rFonts w:ascii="Arial" w:hAnsi="Arial" w:cs="Arial"/>
          <w:color w:val="000000"/>
        </w:rPr>
        <w:t xml:space="preserve">hourly rate, then the median point would be the rate for </w:t>
      </w:r>
      <w:r>
        <w:rPr>
          <w:rFonts w:ascii="Arial" w:hAnsi="Arial" w:cs="Arial"/>
          <w:color w:val="000000"/>
        </w:rPr>
        <w:t>the 50</w:t>
      </w:r>
      <w:r w:rsidRPr="00DD4224">
        <w:rPr>
          <w:rFonts w:ascii="Arial" w:hAnsi="Arial" w:cs="Arial"/>
          <w:color w:val="000000"/>
          <w:vertAlign w:val="superscript"/>
        </w:rPr>
        <w:t>th</w:t>
      </w:r>
      <w:r>
        <w:rPr>
          <w:rFonts w:ascii="Arial" w:hAnsi="Arial" w:cs="Arial"/>
          <w:color w:val="000000"/>
        </w:rPr>
        <w:t xml:space="preserve"> e</w:t>
      </w:r>
      <w:r w:rsidRPr="009C6347">
        <w:rPr>
          <w:rFonts w:ascii="Arial" w:hAnsi="Arial" w:cs="Arial"/>
          <w:color w:val="000000"/>
        </w:rPr>
        <w:t>mployee.</w:t>
      </w:r>
    </w:p>
    <w:p w14:paraId="6D22DFB5" w14:textId="77777777" w:rsidR="00B66EBE" w:rsidRPr="009C6347" w:rsidRDefault="00B66EBE" w:rsidP="00B66EBE">
      <w:pPr>
        <w:pStyle w:val="NormalWeb"/>
        <w:rPr>
          <w:rFonts w:ascii="Arial" w:hAnsi="Arial" w:cs="Arial"/>
          <w:color w:val="000000"/>
        </w:rPr>
      </w:pPr>
      <w:r w:rsidRPr="009C6347">
        <w:rPr>
          <w:rFonts w:ascii="Arial" w:hAnsi="Arial" w:cs="Arial"/>
          <w:color w:val="000000"/>
        </w:rPr>
        <w:t xml:space="preserve">The </w:t>
      </w:r>
      <w:r w:rsidRPr="00722B8F">
        <w:rPr>
          <w:rFonts w:ascii="Arial" w:hAnsi="Arial" w:cs="Arial"/>
          <w:b/>
          <w:bCs/>
          <w:color w:val="000000"/>
        </w:rPr>
        <w:t>median</w:t>
      </w:r>
      <w:r w:rsidRPr="009C6347">
        <w:rPr>
          <w:rFonts w:ascii="Arial" w:hAnsi="Arial" w:cs="Arial"/>
          <w:color w:val="000000"/>
        </w:rPr>
        <w:t xml:space="preserve"> hourly rate for both males and females for the </w:t>
      </w:r>
      <w:r>
        <w:rPr>
          <w:rFonts w:ascii="Arial" w:hAnsi="Arial" w:cs="Arial"/>
          <w:color w:val="000000"/>
        </w:rPr>
        <w:t>snapshot month</w:t>
      </w:r>
      <w:r w:rsidRPr="009C6347">
        <w:rPr>
          <w:rFonts w:ascii="Arial" w:hAnsi="Arial" w:cs="Arial"/>
          <w:color w:val="000000"/>
        </w:rPr>
        <w:t xml:space="preserve"> </w:t>
      </w:r>
      <w:r>
        <w:rPr>
          <w:rFonts w:ascii="Arial" w:hAnsi="Arial" w:cs="Arial"/>
          <w:color w:val="000000"/>
        </w:rPr>
        <w:t>is</w:t>
      </w:r>
      <w:r w:rsidRPr="009C6347">
        <w:rPr>
          <w:rFonts w:ascii="Arial" w:hAnsi="Arial" w:cs="Arial"/>
          <w:color w:val="000000"/>
        </w:rPr>
        <w:t xml:space="preserve"> £</w:t>
      </w:r>
      <w:r>
        <w:rPr>
          <w:rFonts w:ascii="Arial" w:hAnsi="Arial" w:cs="Arial"/>
          <w:color w:val="000000"/>
        </w:rPr>
        <w:t>12.00</w:t>
      </w:r>
      <w:r w:rsidRPr="009C6347">
        <w:rPr>
          <w:rFonts w:ascii="Arial" w:hAnsi="Arial" w:cs="Arial"/>
          <w:color w:val="000000"/>
        </w:rPr>
        <w:t xml:space="preserve"> – so the gap on this basis is </w:t>
      </w:r>
      <w:r w:rsidRPr="00722B8F">
        <w:rPr>
          <w:rFonts w:ascii="Arial" w:hAnsi="Arial" w:cs="Arial"/>
          <w:b/>
          <w:bCs/>
          <w:color w:val="000000"/>
        </w:rPr>
        <w:t>0.0%</w:t>
      </w:r>
    </w:p>
    <w:p w14:paraId="6DED1B16" w14:textId="77777777" w:rsidR="00B66EBE" w:rsidRPr="009C6347" w:rsidRDefault="00B66EBE" w:rsidP="00B66EBE">
      <w:pPr>
        <w:pStyle w:val="NormalWeb"/>
        <w:rPr>
          <w:rFonts w:ascii="Arial" w:hAnsi="Arial" w:cs="Arial"/>
          <w:color w:val="000000"/>
        </w:rPr>
      </w:pPr>
      <w:r w:rsidRPr="009C6347">
        <w:rPr>
          <w:rFonts w:ascii="Arial" w:hAnsi="Arial" w:cs="Arial"/>
          <w:color w:val="000000"/>
        </w:rPr>
        <w:t xml:space="preserve">The mean </w:t>
      </w:r>
      <w:r>
        <w:rPr>
          <w:rFonts w:ascii="Arial" w:hAnsi="Arial" w:cs="Arial"/>
          <w:color w:val="000000"/>
        </w:rPr>
        <w:t xml:space="preserve">(average) </w:t>
      </w:r>
      <w:r w:rsidRPr="009C6347">
        <w:rPr>
          <w:rFonts w:ascii="Arial" w:hAnsi="Arial" w:cs="Arial"/>
          <w:color w:val="000000"/>
        </w:rPr>
        <w:t xml:space="preserve">gender pay gap is the </w:t>
      </w:r>
      <w:r>
        <w:rPr>
          <w:rFonts w:ascii="Arial" w:hAnsi="Arial" w:cs="Arial"/>
          <w:color w:val="000000"/>
        </w:rPr>
        <w:t xml:space="preserve">percentage </w:t>
      </w:r>
      <w:r w:rsidRPr="009C6347">
        <w:rPr>
          <w:rFonts w:ascii="Arial" w:hAnsi="Arial" w:cs="Arial"/>
          <w:color w:val="000000"/>
        </w:rPr>
        <w:t xml:space="preserve">difference between the average hourly rate of full-pay relevant </w:t>
      </w:r>
      <w:r>
        <w:rPr>
          <w:rFonts w:ascii="Arial" w:hAnsi="Arial" w:cs="Arial"/>
          <w:color w:val="000000"/>
        </w:rPr>
        <w:t xml:space="preserve">male </w:t>
      </w:r>
      <w:r w:rsidRPr="009C6347">
        <w:rPr>
          <w:rFonts w:ascii="Arial" w:hAnsi="Arial" w:cs="Arial"/>
          <w:color w:val="000000"/>
        </w:rPr>
        <w:t xml:space="preserve">employees </w:t>
      </w:r>
      <w:r>
        <w:rPr>
          <w:rFonts w:ascii="Arial" w:hAnsi="Arial" w:cs="Arial"/>
          <w:color w:val="000000"/>
        </w:rPr>
        <w:t>with</w:t>
      </w:r>
      <w:r w:rsidRPr="009C6347">
        <w:rPr>
          <w:rFonts w:ascii="Arial" w:hAnsi="Arial" w:cs="Arial"/>
          <w:color w:val="000000"/>
        </w:rPr>
        <w:t xml:space="preserve"> that of females.</w:t>
      </w:r>
    </w:p>
    <w:p w14:paraId="3C351068" w14:textId="77777777" w:rsidR="00B66EBE" w:rsidRPr="00926B09" w:rsidRDefault="00B66EBE" w:rsidP="00B66EBE">
      <w:pPr>
        <w:pStyle w:val="NormalWeb"/>
        <w:rPr>
          <w:rFonts w:ascii="Arial" w:hAnsi="Arial" w:cs="Arial"/>
          <w:color w:val="000000"/>
        </w:rPr>
      </w:pPr>
      <w:r w:rsidRPr="009C6347">
        <w:rPr>
          <w:rFonts w:ascii="Arial" w:hAnsi="Arial" w:cs="Arial"/>
          <w:color w:val="000000"/>
        </w:rPr>
        <w:t xml:space="preserve">The </w:t>
      </w:r>
      <w:r w:rsidRPr="00722B8F">
        <w:rPr>
          <w:rFonts w:ascii="Arial" w:hAnsi="Arial" w:cs="Arial"/>
          <w:b/>
          <w:bCs/>
          <w:color w:val="000000"/>
        </w:rPr>
        <w:t>mean</w:t>
      </w:r>
      <w:r w:rsidRPr="009C6347">
        <w:rPr>
          <w:rFonts w:ascii="Arial" w:hAnsi="Arial" w:cs="Arial"/>
          <w:color w:val="000000"/>
        </w:rPr>
        <w:t xml:space="preserve"> gender pay gap in </w:t>
      </w:r>
      <w:r w:rsidRPr="005F075C">
        <w:rPr>
          <w:rFonts w:ascii="Arial" w:hAnsi="Arial" w:cs="Arial"/>
          <w:color w:val="000000"/>
        </w:rPr>
        <w:t>hourly pay is</w:t>
      </w:r>
      <w:r>
        <w:rPr>
          <w:rFonts w:ascii="Arial" w:hAnsi="Arial" w:cs="Arial"/>
          <w:color w:val="000000"/>
        </w:rPr>
        <w:t xml:space="preserve"> </w:t>
      </w:r>
      <w:r w:rsidRPr="00722B8F">
        <w:rPr>
          <w:rFonts w:ascii="Arial" w:hAnsi="Arial" w:cs="Arial"/>
          <w:b/>
          <w:bCs/>
          <w:color w:val="FF0000"/>
        </w:rPr>
        <w:t>-</w:t>
      </w:r>
      <w:r w:rsidRPr="00300440">
        <w:rPr>
          <w:rFonts w:ascii="Arial" w:hAnsi="Arial" w:cs="Arial"/>
          <w:b/>
          <w:bCs/>
          <w:color w:val="FF0000"/>
        </w:rPr>
        <w:t>1.6%</w:t>
      </w:r>
      <w:r>
        <w:rPr>
          <w:rFonts w:ascii="Arial" w:hAnsi="Arial" w:cs="Arial"/>
          <w:color w:val="000000"/>
        </w:rPr>
        <w:t>.</w:t>
      </w:r>
      <w:r w:rsidRPr="009C6347">
        <w:rPr>
          <w:rFonts w:ascii="Arial" w:hAnsi="Arial" w:cs="Arial"/>
          <w:color w:val="000000"/>
        </w:rPr>
        <w:t xml:space="preserve"> </w:t>
      </w:r>
      <w:r>
        <w:rPr>
          <w:rFonts w:ascii="Arial" w:hAnsi="Arial" w:cs="Arial"/>
          <w:color w:val="000000"/>
        </w:rPr>
        <w:t>T</w:t>
      </w:r>
      <w:r w:rsidRPr="009C6347">
        <w:rPr>
          <w:rFonts w:ascii="Arial" w:hAnsi="Arial" w:cs="Arial"/>
          <w:color w:val="000000"/>
        </w:rPr>
        <w:t xml:space="preserve">his means that, on average for the </w:t>
      </w:r>
      <w:r>
        <w:rPr>
          <w:rFonts w:ascii="Arial" w:hAnsi="Arial" w:cs="Arial"/>
          <w:color w:val="000000"/>
        </w:rPr>
        <w:t>month</w:t>
      </w:r>
      <w:r w:rsidRPr="009C6347">
        <w:rPr>
          <w:rFonts w:ascii="Arial" w:hAnsi="Arial" w:cs="Arial"/>
          <w:color w:val="000000"/>
        </w:rPr>
        <w:t xml:space="preserve">, female colleagues </w:t>
      </w:r>
      <w:r>
        <w:rPr>
          <w:rFonts w:ascii="Arial" w:hAnsi="Arial" w:cs="Arial"/>
          <w:color w:val="000000"/>
        </w:rPr>
        <w:t>were</w:t>
      </w:r>
      <w:r w:rsidRPr="009C6347">
        <w:rPr>
          <w:rFonts w:ascii="Arial" w:hAnsi="Arial" w:cs="Arial"/>
          <w:color w:val="000000"/>
        </w:rPr>
        <w:t xml:space="preserve"> paid </w:t>
      </w:r>
      <w:r>
        <w:rPr>
          <w:rFonts w:ascii="Arial" w:hAnsi="Arial" w:cs="Arial"/>
          <w:color w:val="000000"/>
        </w:rPr>
        <w:t>1.6%</w:t>
      </w:r>
      <w:r w:rsidRPr="009C6347">
        <w:rPr>
          <w:rFonts w:ascii="Arial" w:hAnsi="Arial" w:cs="Arial"/>
          <w:color w:val="000000"/>
        </w:rPr>
        <w:t xml:space="preserve"> </w:t>
      </w:r>
      <w:r>
        <w:rPr>
          <w:rFonts w:ascii="Arial" w:hAnsi="Arial" w:cs="Arial"/>
          <w:color w:val="000000"/>
        </w:rPr>
        <w:t>more</w:t>
      </w:r>
      <w:r w:rsidRPr="009C6347">
        <w:rPr>
          <w:rFonts w:ascii="Arial" w:hAnsi="Arial" w:cs="Arial"/>
          <w:color w:val="000000"/>
        </w:rPr>
        <w:t xml:space="preserve"> than male colleagues, across the whole organisation</w:t>
      </w:r>
      <w:r>
        <w:rPr>
          <w:rFonts w:ascii="Arial" w:hAnsi="Arial" w:cs="Arial"/>
          <w:color w:val="000000"/>
        </w:rPr>
        <w:t xml:space="preserve"> of 301 staff.  This is due to a higher number of females employed in more senior roles and we are seeing this gap decrease over the past three years.  Next year will likely see the mean difference swing to a small positive reflecting a change in two senior roles.</w:t>
      </w:r>
    </w:p>
    <w:p w14:paraId="5AC33188" w14:textId="77777777" w:rsidR="00B66EBE" w:rsidRPr="009C6347" w:rsidRDefault="00B66EBE" w:rsidP="00B66EBE">
      <w:pPr>
        <w:rPr>
          <w:rFonts w:ascii="Arial" w:hAnsi="Arial" w:cs="Arial"/>
          <w:b/>
          <w:bCs/>
        </w:rPr>
      </w:pPr>
      <w:r w:rsidRPr="009C6347">
        <w:rPr>
          <w:rFonts w:ascii="Arial" w:hAnsi="Arial" w:cs="Arial"/>
          <w:b/>
          <w:bCs/>
        </w:rPr>
        <w:t>Proportion of males and females in each pay quartile</w:t>
      </w:r>
      <w:r>
        <w:rPr>
          <w:rFonts w:ascii="Arial" w:hAnsi="Arial" w:cs="Arial"/>
          <w:b/>
          <w:bCs/>
        </w:rPr>
        <w:t xml:space="preserve"> April 2024</w:t>
      </w:r>
    </w:p>
    <w:tbl>
      <w:tblPr>
        <w:tblW w:w="9072" w:type="dxa"/>
        <w:tblCellMar>
          <w:top w:w="15" w:type="dxa"/>
          <w:bottom w:w="15" w:type="dxa"/>
        </w:tblCellMar>
        <w:tblLook w:val="04A0" w:firstRow="1" w:lastRow="0" w:firstColumn="1" w:lastColumn="0" w:noHBand="0" w:noVBand="1"/>
      </w:tblPr>
      <w:tblGrid>
        <w:gridCol w:w="1992"/>
        <w:gridCol w:w="1127"/>
        <w:gridCol w:w="1137"/>
        <w:gridCol w:w="1273"/>
        <w:gridCol w:w="1137"/>
        <w:gridCol w:w="1269"/>
        <w:gridCol w:w="1137"/>
      </w:tblGrid>
      <w:tr w:rsidR="00B66EBE" w:rsidRPr="000B54FE" w14:paraId="38CF7CCB" w14:textId="77777777" w:rsidTr="002B3022">
        <w:trPr>
          <w:trHeight w:val="237"/>
        </w:trPr>
        <w:tc>
          <w:tcPr>
            <w:tcW w:w="1992" w:type="dxa"/>
            <w:tcBorders>
              <w:top w:val="nil"/>
              <w:left w:val="nil"/>
              <w:bottom w:val="nil"/>
              <w:right w:val="nil"/>
            </w:tcBorders>
            <w:shd w:val="clear" w:color="auto" w:fill="FFFFFF" w:themeFill="background1"/>
            <w:noWrap/>
            <w:vAlign w:val="bottom"/>
            <w:hideMark/>
          </w:tcPr>
          <w:p w14:paraId="0D5020C0" w14:textId="77777777" w:rsidR="00B66EBE" w:rsidRPr="000B54FE" w:rsidRDefault="00B66EBE" w:rsidP="002B3022">
            <w:pPr>
              <w:rPr>
                <w:rFonts w:ascii="Arial" w:hAnsi="Arial" w:cs="Arial"/>
              </w:rPr>
            </w:pPr>
          </w:p>
        </w:tc>
        <w:tc>
          <w:tcPr>
            <w:tcW w:w="2264" w:type="dxa"/>
            <w:gridSpan w:val="2"/>
            <w:tcBorders>
              <w:top w:val="nil"/>
              <w:left w:val="nil"/>
              <w:bottom w:val="nil"/>
              <w:right w:val="nil"/>
            </w:tcBorders>
            <w:shd w:val="clear" w:color="auto" w:fill="FFFFFF" w:themeFill="background1"/>
            <w:vAlign w:val="bottom"/>
            <w:hideMark/>
          </w:tcPr>
          <w:p w14:paraId="56052045" w14:textId="77777777" w:rsidR="00B66EBE" w:rsidRPr="006D6A60" w:rsidRDefault="00B66EBE" w:rsidP="002B3022">
            <w:pPr>
              <w:rPr>
                <w:rFonts w:ascii="Arial" w:hAnsi="Arial" w:cs="Arial"/>
                <w:b/>
                <w:bCs/>
                <w:color w:val="7030A0"/>
              </w:rPr>
            </w:pPr>
            <w:r>
              <w:rPr>
                <w:rFonts w:ascii="Arial" w:hAnsi="Arial" w:cs="Arial"/>
                <w:b/>
                <w:bCs/>
                <w:color w:val="7030A0"/>
              </w:rPr>
              <w:t xml:space="preserve">       Mean pay £</w:t>
            </w:r>
          </w:p>
        </w:tc>
        <w:tc>
          <w:tcPr>
            <w:tcW w:w="2410" w:type="dxa"/>
            <w:gridSpan w:val="2"/>
            <w:tcBorders>
              <w:top w:val="nil"/>
              <w:left w:val="nil"/>
              <w:bottom w:val="nil"/>
              <w:right w:val="nil"/>
            </w:tcBorders>
            <w:shd w:val="clear" w:color="auto" w:fill="FFFFFF" w:themeFill="background1"/>
            <w:vAlign w:val="bottom"/>
            <w:hideMark/>
          </w:tcPr>
          <w:p w14:paraId="1DB3CB97" w14:textId="77777777" w:rsidR="00B66EBE" w:rsidRPr="006D6A60" w:rsidRDefault="00B66EBE" w:rsidP="002B3022">
            <w:pPr>
              <w:jc w:val="center"/>
              <w:rPr>
                <w:rFonts w:ascii="Arial" w:hAnsi="Arial" w:cs="Arial"/>
                <w:b/>
                <w:bCs/>
                <w:color w:val="7030A0"/>
              </w:rPr>
            </w:pPr>
            <w:r>
              <w:rPr>
                <w:rFonts w:ascii="Arial" w:hAnsi="Arial" w:cs="Arial"/>
                <w:b/>
                <w:bCs/>
                <w:color w:val="7030A0"/>
              </w:rPr>
              <w:t>Number of staff in each quartile</w:t>
            </w:r>
          </w:p>
        </w:tc>
        <w:tc>
          <w:tcPr>
            <w:tcW w:w="2406" w:type="dxa"/>
            <w:gridSpan w:val="2"/>
            <w:tcBorders>
              <w:top w:val="nil"/>
              <w:left w:val="nil"/>
              <w:bottom w:val="nil"/>
              <w:right w:val="nil"/>
            </w:tcBorders>
            <w:shd w:val="clear" w:color="auto" w:fill="FFFFFF" w:themeFill="background1"/>
          </w:tcPr>
          <w:p w14:paraId="15960F23" w14:textId="77777777" w:rsidR="00B66EBE" w:rsidRDefault="00B66EBE" w:rsidP="002B3022">
            <w:pPr>
              <w:jc w:val="center"/>
              <w:rPr>
                <w:rFonts w:ascii="Arial" w:hAnsi="Arial" w:cs="Arial"/>
                <w:b/>
                <w:bCs/>
                <w:color w:val="7030A0"/>
              </w:rPr>
            </w:pPr>
            <w:r>
              <w:rPr>
                <w:rFonts w:ascii="Arial" w:hAnsi="Arial" w:cs="Arial"/>
                <w:b/>
                <w:bCs/>
                <w:color w:val="7030A0"/>
              </w:rPr>
              <w:t>% of staff gender in each quartile</w:t>
            </w:r>
          </w:p>
        </w:tc>
      </w:tr>
      <w:tr w:rsidR="00B66EBE" w:rsidRPr="000B54FE" w14:paraId="2B78EC73" w14:textId="77777777" w:rsidTr="002B3022">
        <w:trPr>
          <w:trHeight w:val="237"/>
        </w:trPr>
        <w:tc>
          <w:tcPr>
            <w:tcW w:w="1992" w:type="dxa"/>
            <w:tcBorders>
              <w:top w:val="nil"/>
              <w:left w:val="nil"/>
              <w:bottom w:val="nil"/>
              <w:right w:val="nil"/>
            </w:tcBorders>
            <w:shd w:val="clear" w:color="auto" w:fill="FFFFFF" w:themeFill="background1"/>
            <w:noWrap/>
            <w:vAlign w:val="bottom"/>
            <w:hideMark/>
          </w:tcPr>
          <w:p w14:paraId="0AF351BD" w14:textId="77777777" w:rsidR="00B66EBE" w:rsidRPr="000B54FE" w:rsidRDefault="00B66EBE" w:rsidP="002B3022">
            <w:pPr>
              <w:rPr>
                <w:rFonts w:ascii="Arial" w:hAnsi="Arial" w:cs="Arial"/>
                <w:b/>
                <w:bCs/>
              </w:rPr>
            </w:pPr>
            <w:r w:rsidRPr="000B54FE">
              <w:rPr>
                <w:rFonts w:ascii="Arial" w:hAnsi="Arial" w:cs="Arial"/>
                <w:b/>
                <w:bCs/>
              </w:rPr>
              <w:t>Quartile</w:t>
            </w:r>
          </w:p>
        </w:tc>
        <w:tc>
          <w:tcPr>
            <w:tcW w:w="1127" w:type="dxa"/>
            <w:tcBorders>
              <w:top w:val="nil"/>
              <w:left w:val="nil"/>
              <w:bottom w:val="single" w:sz="4" w:space="0" w:color="auto"/>
              <w:right w:val="nil"/>
            </w:tcBorders>
            <w:shd w:val="clear" w:color="auto" w:fill="FFFFFF" w:themeFill="background1"/>
            <w:noWrap/>
            <w:vAlign w:val="bottom"/>
            <w:hideMark/>
          </w:tcPr>
          <w:p w14:paraId="339378E8" w14:textId="77777777" w:rsidR="00B66EBE" w:rsidRPr="000B54FE" w:rsidRDefault="00B66EBE" w:rsidP="002B3022">
            <w:pPr>
              <w:jc w:val="center"/>
              <w:rPr>
                <w:rFonts w:ascii="Arial" w:hAnsi="Arial" w:cs="Arial"/>
              </w:rPr>
            </w:pPr>
            <w:r w:rsidRPr="000B54FE">
              <w:rPr>
                <w:rFonts w:ascii="Arial" w:hAnsi="Arial" w:cs="Arial"/>
              </w:rPr>
              <w:t>Males</w:t>
            </w:r>
          </w:p>
        </w:tc>
        <w:tc>
          <w:tcPr>
            <w:tcW w:w="1137" w:type="dxa"/>
            <w:tcBorders>
              <w:top w:val="nil"/>
              <w:left w:val="nil"/>
              <w:bottom w:val="single" w:sz="4" w:space="0" w:color="auto"/>
              <w:right w:val="nil"/>
            </w:tcBorders>
            <w:shd w:val="clear" w:color="auto" w:fill="FFFFFF" w:themeFill="background1"/>
            <w:noWrap/>
            <w:vAlign w:val="bottom"/>
            <w:hideMark/>
          </w:tcPr>
          <w:p w14:paraId="3B922D6E" w14:textId="77777777" w:rsidR="00B66EBE" w:rsidRPr="000B54FE" w:rsidRDefault="00B66EBE" w:rsidP="002B3022">
            <w:pPr>
              <w:jc w:val="center"/>
              <w:rPr>
                <w:rFonts w:ascii="Arial" w:hAnsi="Arial" w:cs="Arial"/>
              </w:rPr>
            </w:pPr>
            <w:r w:rsidRPr="000B54FE">
              <w:rPr>
                <w:rFonts w:ascii="Arial" w:hAnsi="Arial" w:cs="Arial"/>
              </w:rPr>
              <w:t>Females</w:t>
            </w:r>
          </w:p>
        </w:tc>
        <w:tc>
          <w:tcPr>
            <w:tcW w:w="1273" w:type="dxa"/>
            <w:tcBorders>
              <w:top w:val="nil"/>
              <w:left w:val="nil"/>
              <w:bottom w:val="single" w:sz="4" w:space="0" w:color="auto"/>
              <w:right w:val="nil"/>
            </w:tcBorders>
            <w:shd w:val="clear" w:color="auto" w:fill="FFFFFF" w:themeFill="background1"/>
            <w:noWrap/>
            <w:vAlign w:val="bottom"/>
            <w:hideMark/>
          </w:tcPr>
          <w:p w14:paraId="71E5A3EF" w14:textId="77777777" w:rsidR="00B66EBE" w:rsidRPr="000B54FE" w:rsidRDefault="00B66EBE" w:rsidP="002B3022">
            <w:pPr>
              <w:jc w:val="center"/>
              <w:rPr>
                <w:rFonts w:ascii="Arial" w:hAnsi="Arial" w:cs="Arial"/>
              </w:rPr>
            </w:pPr>
            <w:r w:rsidRPr="000B54FE">
              <w:rPr>
                <w:rFonts w:ascii="Arial" w:hAnsi="Arial" w:cs="Arial"/>
              </w:rPr>
              <w:t>Males</w:t>
            </w:r>
          </w:p>
        </w:tc>
        <w:tc>
          <w:tcPr>
            <w:tcW w:w="1137" w:type="dxa"/>
            <w:tcBorders>
              <w:top w:val="nil"/>
              <w:left w:val="nil"/>
              <w:bottom w:val="single" w:sz="4" w:space="0" w:color="auto"/>
              <w:right w:val="nil"/>
            </w:tcBorders>
            <w:shd w:val="clear" w:color="auto" w:fill="FFFFFF" w:themeFill="background1"/>
            <w:noWrap/>
            <w:vAlign w:val="bottom"/>
            <w:hideMark/>
          </w:tcPr>
          <w:p w14:paraId="11CEF2E6" w14:textId="77777777" w:rsidR="00B66EBE" w:rsidRPr="000B54FE" w:rsidRDefault="00B66EBE" w:rsidP="002B3022">
            <w:pPr>
              <w:jc w:val="center"/>
              <w:rPr>
                <w:rFonts w:ascii="Arial" w:hAnsi="Arial" w:cs="Arial"/>
              </w:rPr>
            </w:pPr>
            <w:r w:rsidRPr="000B54FE">
              <w:rPr>
                <w:rFonts w:ascii="Arial" w:hAnsi="Arial" w:cs="Arial"/>
              </w:rPr>
              <w:t>Females</w:t>
            </w:r>
          </w:p>
        </w:tc>
        <w:tc>
          <w:tcPr>
            <w:tcW w:w="1272" w:type="dxa"/>
            <w:tcBorders>
              <w:top w:val="nil"/>
              <w:left w:val="nil"/>
              <w:bottom w:val="single" w:sz="4" w:space="0" w:color="auto"/>
              <w:right w:val="nil"/>
            </w:tcBorders>
            <w:shd w:val="clear" w:color="auto" w:fill="FFFFFF" w:themeFill="background1"/>
            <w:vAlign w:val="bottom"/>
          </w:tcPr>
          <w:p w14:paraId="4B492AC2" w14:textId="77777777" w:rsidR="00B66EBE" w:rsidRPr="000B54FE" w:rsidRDefault="00B66EBE" w:rsidP="002B3022">
            <w:pPr>
              <w:jc w:val="center"/>
              <w:rPr>
                <w:rFonts w:ascii="Arial" w:hAnsi="Arial" w:cs="Arial"/>
              </w:rPr>
            </w:pPr>
            <w:r w:rsidRPr="000B54FE">
              <w:rPr>
                <w:rFonts w:ascii="Arial" w:hAnsi="Arial" w:cs="Arial"/>
              </w:rPr>
              <w:t>Males</w:t>
            </w:r>
          </w:p>
        </w:tc>
        <w:tc>
          <w:tcPr>
            <w:tcW w:w="1134" w:type="dxa"/>
            <w:tcBorders>
              <w:top w:val="nil"/>
              <w:left w:val="nil"/>
              <w:bottom w:val="single" w:sz="4" w:space="0" w:color="auto"/>
              <w:right w:val="nil"/>
            </w:tcBorders>
            <w:shd w:val="clear" w:color="auto" w:fill="FFFFFF" w:themeFill="background1"/>
            <w:vAlign w:val="bottom"/>
          </w:tcPr>
          <w:p w14:paraId="50FA4013" w14:textId="77777777" w:rsidR="00B66EBE" w:rsidRPr="000B54FE" w:rsidRDefault="00B66EBE" w:rsidP="002B3022">
            <w:pPr>
              <w:jc w:val="center"/>
              <w:rPr>
                <w:rFonts w:ascii="Arial" w:hAnsi="Arial" w:cs="Arial"/>
              </w:rPr>
            </w:pPr>
            <w:r w:rsidRPr="000B54FE">
              <w:rPr>
                <w:rFonts w:ascii="Arial" w:hAnsi="Arial" w:cs="Arial"/>
              </w:rPr>
              <w:t>Females</w:t>
            </w:r>
          </w:p>
        </w:tc>
      </w:tr>
      <w:tr w:rsidR="00B66EBE" w:rsidRPr="000B54FE" w14:paraId="397E56E6" w14:textId="77777777" w:rsidTr="002B3022">
        <w:trPr>
          <w:trHeight w:hRule="exact" w:val="397"/>
        </w:trPr>
        <w:tc>
          <w:tcPr>
            <w:tcW w:w="1992" w:type="dxa"/>
            <w:tcBorders>
              <w:top w:val="nil"/>
              <w:left w:val="nil"/>
              <w:bottom w:val="nil"/>
              <w:right w:val="nil"/>
            </w:tcBorders>
            <w:shd w:val="clear" w:color="auto" w:fill="FFFFFF" w:themeFill="background1"/>
            <w:noWrap/>
            <w:vAlign w:val="bottom"/>
            <w:hideMark/>
          </w:tcPr>
          <w:p w14:paraId="5913BF8F" w14:textId="77777777" w:rsidR="00B66EBE" w:rsidRPr="000B54FE" w:rsidRDefault="00B66EBE" w:rsidP="002B3022">
            <w:pPr>
              <w:rPr>
                <w:rFonts w:ascii="Arial" w:hAnsi="Arial" w:cs="Arial"/>
              </w:rPr>
            </w:pPr>
            <w:r w:rsidRPr="000B54FE">
              <w:rPr>
                <w:rFonts w:ascii="Arial" w:hAnsi="Arial" w:cs="Arial"/>
              </w:rPr>
              <w:t xml:space="preserve">Lower </w:t>
            </w:r>
            <w:r>
              <w:rPr>
                <w:rFonts w:ascii="Arial" w:hAnsi="Arial" w:cs="Arial"/>
              </w:rPr>
              <w:t>hr rate</w:t>
            </w:r>
          </w:p>
        </w:tc>
        <w:tc>
          <w:tcPr>
            <w:tcW w:w="1127" w:type="dxa"/>
            <w:tcBorders>
              <w:top w:val="nil"/>
              <w:left w:val="nil"/>
              <w:bottom w:val="nil"/>
              <w:right w:val="nil"/>
            </w:tcBorders>
            <w:shd w:val="clear" w:color="auto" w:fill="FFFFFF" w:themeFill="background1"/>
            <w:noWrap/>
            <w:vAlign w:val="bottom"/>
            <w:hideMark/>
          </w:tcPr>
          <w:p w14:paraId="65A8AB3C" w14:textId="77777777" w:rsidR="00B66EBE" w:rsidRPr="000B54FE" w:rsidRDefault="00B66EBE" w:rsidP="002B3022">
            <w:pPr>
              <w:jc w:val="center"/>
              <w:rPr>
                <w:rFonts w:ascii="Arial" w:hAnsi="Arial" w:cs="Arial"/>
              </w:rPr>
            </w:pPr>
            <w:r>
              <w:rPr>
                <w:rFonts w:ascii="Arial" w:hAnsi="Arial" w:cs="Arial"/>
              </w:rPr>
              <w:t>£12.00</w:t>
            </w:r>
          </w:p>
        </w:tc>
        <w:tc>
          <w:tcPr>
            <w:tcW w:w="1137" w:type="dxa"/>
            <w:tcBorders>
              <w:top w:val="nil"/>
              <w:left w:val="nil"/>
              <w:bottom w:val="nil"/>
              <w:right w:val="nil"/>
            </w:tcBorders>
            <w:shd w:val="clear" w:color="auto" w:fill="FFFFFF" w:themeFill="background1"/>
            <w:noWrap/>
            <w:vAlign w:val="bottom"/>
            <w:hideMark/>
          </w:tcPr>
          <w:p w14:paraId="12BE1848" w14:textId="77777777" w:rsidR="00B66EBE" w:rsidRPr="000B54FE" w:rsidRDefault="00B66EBE" w:rsidP="002B3022">
            <w:pPr>
              <w:jc w:val="center"/>
              <w:rPr>
                <w:rFonts w:ascii="Arial" w:hAnsi="Arial" w:cs="Arial"/>
              </w:rPr>
            </w:pPr>
            <w:r>
              <w:rPr>
                <w:rFonts w:ascii="Arial" w:hAnsi="Arial" w:cs="Arial"/>
              </w:rPr>
              <w:t>£12.00</w:t>
            </w:r>
          </w:p>
        </w:tc>
        <w:tc>
          <w:tcPr>
            <w:tcW w:w="1273" w:type="dxa"/>
            <w:tcBorders>
              <w:top w:val="nil"/>
              <w:left w:val="nil"/>
              <w:bottom w:val="nil"/>
              <w:right w:val="nil"/>
            </w:tcBorders>
            <w:shd w:val="clear" w:color="auto" w:fill="FFFFFF" w:themeFill="background1"/>
            <w:noWrap/>
            <w:vAlign w:val="bottom"/>
            <w:hideMark/>
          </w:tcPr>
          <w:p w14:paraId="21B642D2" w14:textId="77777777" w:rsidR="00B66EBE" w:rsidRPr="000B54FE" w:rsidRDefault="00B66EBE" w:rsidP="002B3022">
            <w:pPr>
              <w:jc w:val="center"/>
              <w:rPr>
                <w:rFonts w:ascii="Arial" w:hAnsi="Arial" w:cs="Arial"/>
              </w:rPr>
            </w:pPr>
            <w:r w:rsidRPr="12AB2578">
              <w:rPr>
                <w:rFonts w:ascii="Arial" w:hAnsi="Arial" w:cs="Arial"/>
              </w:rPr>
              <w:t>36</w:t>
            </w:r>
          </w:p>
        </w:tc>
        <w:tc>
          <w:tcPr>
            <w:tcW w:w="1137" w:type="dxa"/>
            <w:tcBorders>
              <w:top w:val="nil"/>
              <w:left w:val="nil"/>
              <w:bottom w:val="nil"/>
              <w:right w:val="nil"/>
            </w:tcBorders>
            <w:shd w:val="clear" w:color="auto" w:fill="FFFFFF" w:themeFill="background1"/>
            <w:noWrap/>
            <w:vAlign w:val="bottom"/>
            <w:hideMark/>
          </w:tcPr>
          <w:p w14:paraId="682E42C3" w14:textId="77777777" w:rsidR="00B66EBE" w:rsidRPr="000B54FE" w:rsidRDefault="00B66EBE" w:rsidP="002B3022">
            <w:pPr>
              <w:jc w:val="center"/>
              <w:rPr>
                <w:rFonts w:ascii="Arial" w:hAnsi="Arial" w:cs="Arial"/>
              </w:rPr>
            </w:pPr>
            <w:r w:rsidRPr="12AB2578">
              <w:rPr>
                <w:rFonts w:ascii="Arial" w:hAnsi="Arial" w:cs="Arial"/>
              </w:rPr>
              <w:t>39</w:t>
            </w:r>
          </w:p>
        </w:tc>
        <w:tc>
          <w:tcPr>
            <w:tcW w:w="1272" w:type="dxa"/>
            <w:tcBorders>
              <w:top w:val="nil"/>
              <w:left w:val="nil"/>
              <w:bottom w:val="nil"/>
              <w:right w:val="nil"/>
            </w:tcBorders>
            <w:shd w:val="clear" w:color="auto" w:fill="FFFFFF" w:themeFill="background1"/>
          </w:tcPr>
          <w:p w14:paraId="51C40FD3" w14:textId="77777777" w:rsidR="00B66EBE" w:rsidRDefault="00B66EBE" w:rsidP="002B3022">
            <w:pPr>
              <w:jc w:val="center"/>
              <w:rPr>
                <w:rFonts w:ascii="Arial" w:hAnsi="Arial" w:cs="Arial"/>
              </w:rPr>
            </w:pPr>
            <w:r w:rsidRPr="1C9AA4D5">
              <w:rPr>
                <w:rFonts w:ascii="Arial" w:hAnsi="Arial" w:cs="Arial"/>
              </w:rPr>
              <w:t>48</w:t>
            </w:r>
            <w:r w:rsidRPr="5A94BDE1">
              <w:rPr>
                <w:rFonts w:ascii="Arial" w:hAnsi="Arial" w:cs="Arial"/>
              </w:rPr>
              <w:t>%</w:t>
            </w:r>
          </w:p>
        </w:tc>
        <w:tc>
          <w:tcPr>
            <w:tcW w:w="1134" w:type="dxa"/>
            <w:tcBorders>
              <w:top w:val="nil"/>
              <w:left w:val="nil"/>
              <w:bottom w:val="nil"/>
              <w:right w:val="nil"/>
            </w:tcBorders>
            <w:shd w:val="clear" w:color="auto" w:fill="FFFFFF" w:themeFill="background1"/>
          </w:tcPr>
          <w:p w14:paraId="699FFB73" w14:textId="77777777" w:rsidR="00B66EBE" w:rsidRDefault="00B66EBE" w:rsidP="002B3022">
            <w:pPr>
              <w:jc w:val="center"/>
              <w:rPr>
                <w:rFonts w:ascii="Arial" w:hAnsi="Arial" w:cs="Arial"/>
              </w:rPr>
            </w:pPr>
            <w:r w:rsidRPr="1C9AA4D5">
              <w:rPr>
                <w:rFonts w:ascii="Arial" w:hAnsi="Arial" w:cs="Arial"/>
              </w:rPr>
              <w:t>52</w:t>
            </w:r>
            <w:r w:rsidRPr="5E466035">
              <w:rPr>
                <w:rFonts w:ascii="Arial" w:hAnsi="Arial" w:cs="Arial"/>
              </w:rPr>
              <w:t>%</w:t>
            </w:r>
          </w:p>
        </w:tc>
      </w:tr>
      <w:tr w:rsidR="00B66EBE" w:rsidRPr="000B54FE" w14:paraId="55D24276" w14:textId="77777777" w:rsidTr="002B3022">
        <w:trPr>
          <w:trHeight w:hRule="exact" w:val="397"/>
        </w:trPr>
        <w:tc>
          <w:tcPr>
            <w:tcW w:w="1992" w:type="dxa"/>
            <w:tcBorders>
              <w:top w:val="nil"/>
              <w:left w:val="nil"/>
              <w:bottom w:val="nil"/>
              <w:right w:val="nil"/>
            </w:tcBorders>
            <w:shd w:val="clear" w:color="auto" w:fill="FFFFFF" w:themeFill="background1"/>
            <w:noWrap/>
            <w:vAlign w:val="bottom"/>
            <w:hideMark/>
          </w:tcPr>
          <w:p w14:paraId="3ED89384" w14:textId="77777777" w:rsidR="00B66EBE" w:rsidRPr="000B54FE" w:rsidRDefault="00B66EBE" w:rsidP="002B3022">
            <w:pPr>
              <w:rPr>
                <w:rFonts w:ascii="Arial" w:hAnsi="Arial" w:cs="Arial"/>
              </w:rPr>
            </w:pPr>
            <w:r w:rsidRPr="000B54FE">
              <w:rPr>
                <w:rFonts w:ascii="Arial" w:hAnsi="Arial" w:cs="Arial"/>
              </w:rPr>
              <w:t xml:space="preserve">Lower </w:t>
            </w:r>
            <w:r>
              <w:rPr>
                <w:rFonts w:ascii="Arial" w:hAnsi="Arial" w:cs="Arial"/>
              </w:rPr>
              <w:t>m</w:t>
            </w:r>
            <w:r w:rsidRPr="000B54FE">
              <w:rPr>
                <w:rFonts w:ascii="Arial" w:hAnsi="Arial" w:cs="Arial"/>
              </w:rPr>
              <w:t>iddle</w:t>
            </w:r>
          </w:p>
        </w:tc>
        <w:tc>
          <w:tcPr>
            <w:tcW w:w="1127" w:type="dxa"/>
            <w:tcBorders>
              <w:top w:val="nil"/>
              <w:left w:val="nil"/>
              <w:bottom w:val="nil"/>
              <w:right w:val="nil"/>
            </w:tcBorders>
            <w:shd w:val="clear" w:color="auto" w:fill="FFFFFF" w:themeFill="background1"/>
            <w:noWrap/>
            <w:vAlign w:val="bottom"/>
            <w:hideMark/>
          </w:tcPr>
          <w:p w14:paraId="15A00041" w14:textId="77777777" w:rsidR="00B66EBE" w:rsidRPr="000B54FE" w:rsidRDefault="00B66EBE" w:rsidP="002B3022">
            <w:pPr>
              <w:jc w:val="center"/>
              <w:rPr>
                <w:rFonts w:ascii="Arial" w:hAnsi="Arial" w:cs="Arial"/>
              </w:rPr>
            </w:pPr>
            <w:r>
              <w:rPr>
                <w:rFonts w:ascii="Arial" w:hAnsi="Arial" w:cs="Arial"/>
              </w:rPr>
              <w:t>£12.00</w:t>
            </w:r>
          </w:p>
        </w:tc>
        <w:tc>
          <w:tcPr>
            <w:tcW w:w="1137" w:type="dxa"/>
            <w:tcBorders>
              <w:top w:val="nil"/>
              <w:left w:val="nil"/>
              <w:bottom w:val="nil"/>
              <w:right w:val="nil"/>
            </w:tcBorders>
            <w:shd w:val="clear" w:color="auto" w:fill="FFFFFF" w:themeFill="background1"/>
            <w:noWrap/>
            <w:vAlign w:val="bottom"/>
            <w:hideMark/>
          </w:tcPr>
          <w:p w14:paraId="36367429" w14:textId="77777777" w:rsidR="00B66EBE" w:rsidRPr="000B54FE" w:rsidRDefault="00B66EBE" w:rsidP="002B3022">
            <w:pPr>
              <w:jc w:val="center"/>
              <w:rPr>
                <w:rFonts w:ascii="Arial" w:hAnsi="Arial" w:cs="Arial"/>
              </w:rPr>
            </w:pPr>
            <w:r>
              <w:rPr>
                <w:rFonts w:ascii="Arial" w:hAnsi="Arial" w:cs="Arial"/>
              </w:rPr>
              <w:t>£12.00</w:t>
            </w:r>
          </w:p>
        </w:tc>
        <w:tc>
          <w:tcPr>
            <w:tcW w:w="1273" w:type="dxa"/>
            <w:tcBorders>
              <w:top w:val="nil"/>
              <w:left w:val="nil"/>
              <w:bottom w:val="nil"/>
              <w:right w:val="nil"/>
            </w:tcBorders>
            <w:shd w:val="clear" w:color="auto" w:fill="FFFFFF" w:themeFill="background1"/>
            <w:noWrap/>
            <w:vAlign w:val="bottom"/>
            <w:hideMark/>
          </w:tcPr>
          <w:p w14:paraId="62132BB9" w14:textId="77777777" w:rsidR="00B66EBE" w:rsidRPr="000B54FE" w:rsidRDefault="00B66EBE" w:rsidP="002B3022">
            <w:pPr>
              <w:jc w:val="center"/>
              <w:rPr>
                <w:rFonts w:ascii="Arial" w:hAnsi="Arial" w:cs="Arial"/>
              </w:rPr>
            </w:pPr>
            <w:r w:rsidRPr="54956F95">
              <w:rPr>
                <w:rFonts w:ascii="Arial" w:hAnsi="Arial" w:cs="Arial"/>
              </w:rPr>
              <w:t>22</w:t>
            </w:r>
          </w:p>
        </w:tc>
        <w:tc>
          <w:tcPr>
            <w:tcW w:w="1137" w:type="dxa"/>
            <w:tcBorders>
              <w:top w:val="nil"/>
              <w:left w:val="nil"/>
              <w:bottom w:val="nil"/>
              <w:right w:val="nil"/>
            </w:tcBorders>
            <w:shd w:val="clear" w:color="auto" w:fill="FFFFFF" w:themeFill="background1"/>
            <w:noWrap/>
            <w:vAlign w:val="bottom"/>
            <w:hideMark/>
          </w:tcPr>
          <w:p w14:paraId="14814874" w14:textId="77777777" w:rsidR="00B66EBE" w:rsidRPr="000B54FE" w:rsidRDefault="00B66EBE" w:rsidP="002B3022">
            <w:pPr>
              <w:jc w:val="center"/>
              <w:rPr>
                <w:rFonts w:ascii="Arial" w:hAnsi="Arial" w:cs="Arial"/>
              </w:rPr>
            </w:pPr>
            <w:r w:rsidRPr="00B75C80">
              <w:rPr>
                <w:rFonts w:ascii="Arial" w:hAnsi="Arial" w:cs="Arial"/>
              </w:rPr>
              <w:t>54</w:t>
            </w:r>
          </w:p>
        </w:tc>
        <w:tc>
          <w:tcPr>
            <w:tcW w:w="1272" w:type="dxa"/>
            <w:tcBorders>
              <w:top w:val="nil"/>
              <w:left w:val="nil"/>
              <w:bottom w:val="nil"/>
              <w:right w:val="nil"/>
            </w:tcBorders>
            <w:shd w:val="clear" w:color="auto" w:fill="FFFFFF" w:themeFill="background1"/>
          </w:tcPr>
          <w:p w14:paraId="3EC5415D" w14:textId="77777777" w:rsidR="00B66EBE" w:rsidRPr="3AC4A872" w:rsidRDefault="00B66EBE" w:rsidP="002B3022">
            <w:pPr>
              <w:jc w:val="center"/>
              <w:rPr>
                <w:rFonts w:ascii="Arial" w:hAnsi="Arial" w:cs="Arial"/>
              </w:rPr>
            </w:pPr>
            <w:r w:rsidRPr="7E60B827">
              <w:rPr>
                <w:rFonts w:ascii="Arial" w:hAnsi="Arial" w:cs="Arial"/>
              </w:rPr>
              <w:t>29</w:t>
            </w:r>
            <w:r w:rsidRPr="3AC4A872">
              <w:rPr>
                <w:rFonts w:ascii="Arial" w:hAnsi="Arial" w:cs="Arial"/>
              </w:rPr>
              <w:t>%</w:t>
            </w:r>
          </w:p>
        </w:tc>
        <w:tc>
          <w:tcPr>
            <w:tcW w:w="1134" w:type="dxa"/>
            <w:tcBorders>
              <w:top w:val="nil"/>
              <w:left w:val="nil"/>
              <w:bottom w:val="nil"/>
              <w:right w:val="nil"/>
            </w:tcBorders>
            <w:shd w:val="clear" w:color="auto" w:fill="FFFFFF" w:themeFill="background1"/>
          </w:tcPr>
          <w:p w14:paraId="3069619B" w14:textId="77777777" w:rsidR="00B66EBE" w:rsidRPr="3AC4A872" w:rsidRDefault="00B66EBE" w:rsidP="002B3022">
            <w:pPr>
              <w:jc w:val="center"/>
              <w:rPr>
                <w:rFonts w:ascii="Arial" w:hAnsi="Arial" w:cs="Arial"/>
              </w:rPr>
            </w:pPr>
            <w:r w:rsidRPr="7E60B827">
              <w:rPr>
                <w:rFonts w:ascii="Arial" w:hAnsi="Arial" w:cs="Arial"/>
              </w:rPr>
              <w:t>71</w:t>
            </w:r>
            <w:r w:rsidRPr="3AC4A872">
              <w:rPr>
                <w:rFonts w:ascii="Arial" w:hAnsi="Arial" w:cs="Arial"/>
              </w:rPr>
              <w:t>%</w:t>
            </w:r>
          </w:p>
        </w:tc>
      </w:tr>
      <w:tr w:rsidR="00B66EBE" w:rsidRPr="000B54FE" w14:paraId="4D442FDB" w14:textId="77777777" w:rsidTr="002B3022">
        <w:trPr>
          <w:trHeight w:hRule="exact" w:val="397"/>
        </w:trPr>
        <w:tc>
          <w:tcPr>
            <w:tcW w:w="1992" w:type="dxa"/>
            <w:tcBorders>
              <w:top w:val="nil"/>
              <w:left w:val="nil"/>
              <w:bottom w:val="nil"/>
              <w:right w:val="nil"/>
            </w:tcBorders>
            <w:shd w:val="clear" w:color="auto" w:fill="FFFFFF" w:themeFill="background1"/>
            <w:noWrap/>
            <w:vAlign w:val="bottom"/>
            <w:hideMark/>
          </w:tcPr>
          <w:p w14:paraId="7E4C89D2" w14:textId="77777777" w:rsidR="00B66EBE" w:rsidRPr="000B54FE" w:rsidRDefault="00B66EBE" w:rsidP="002B3022">
            <w:pPr>
              <w:rPr>
                <w:rFonts w:ascii="Arial" w:hAnsi="Arial" w:cs="Arial"/>
              </w:rPr>
            </w:pPr>
            <w:r w:rsidRPr="000B54FE">
              <w:rPr>
                <w:rFonts w:ascii="Arial" w:hAnsi="Arial" w:cs="Arial"/>
              </w:rPr>
              <w:t xml:space="preserve">Upper </w:t>
            </w:r>
            <w:r>
              <w:rPr>
                <w:rFonts w:ascii="Arial" w:hAnsi="Arial" w:cs="Arial"/>
              </w:rPr>
              <w:t>m</w:t>
            </w:r>
            <w:r w:rsidRPr="000B54FE">
              <w:rPr>
                <w:rFonts w:ascii="Arial" w:hAnsi="Arial" w:cs="Arial"/>
              </w:rPr>
              <w:t>iddle</w:t>
            </w:r>
          </w:p>
        </w:tc>
        <w:tc>
          <w:tcPr>
            <w:tcW w:w="1127" w:type="dxa"/>
            <w:tcBorders>
              <w:top w:val="nil"/>
              <w:left w:val="nil"/>
              <w:bottom w:val="nil"/>
              <w:right w:val="nil"/>
            </w:tcBorders>
            <w:shd w:val="clear" w:color="auto" w:fill="FFFFFF" w:themeFill="background1"/>
            <w:noWrap/>
            <w:vAlign w:val="bottom"/>
            <w:hideMark/>
          </w:tcPr>
          <w:p w14:paraId="59503F23" w14:textId="77777777" w:rsidR="00B66EBE" w:rsidRPr="000B54FE" w:rsidRDefault="00B66EBE" w:rsidP="002B3022">
            <w:pPr>
              <w:jc w:val="center"/>
              <w:rPr>
                <w:rFonts w:ascii="Arial" w:hAnsi="Arial" w:cs="Arial"/>
              </w:rPr>
            </w:pPr>
            <w:r>
              <w:rPr>
                <w:rFonts w:ascii="Arial" w:hAnsi="Arial" w:cs="Arial"/>
              </w:rPr>
              <w:t>£12.00</w:t>
            </w:r>
          </w:p>
        </w:tc>
        <w:tc>
          <w:tcPr>
            <w:tcW w:w="1137" w:type="dxa"/>
            <w:tcBorders>
              <w:top w:val="nil"/>
              <w:left w:val="nil"/>
              <w:bottom w:val="nil"/>
              <w:right w:val="nil"/>
            </w:tcBorders>
            <w:shd w:val="clear" w:color="auto" w:fill="FFFFFF" w:themeFill="background1"/>
            <w:noWrap/>
            <w:vAlign w:val="bottom"/>
            <w:hideMark/>
          </w:tcPr>
          <w:p w14:paraId="769319AC" w14:textId="77777777" w:rsidR="00B66EBE" w:rsidRPr="000B54FE" w:rsidRDefault="00B66EBE" w:rsidP="002B3022">
            <w:pPr>
              <w:jc w:val="center"/>
              <w:rPr>
                <w:rFonts w:ascii="Arial" w:hAnsi="Arial" w:cs="Arial"/>
              </w:rPr>
            </w:pPr>
            <w:r>
              <w:rPr>
                <w:rFonts w:ascii="Arial" w:hAnsi="Arial" w:cs="Arial"/>
              </w:rPr>
              <w:t>£12.00</w:t>
            </w:r>
          </w:p>
        </w:tc>
        <w:tc>
          <w:tcPr>
            <w:tcW w:w="1273" w:type="dxa"/>
            <w:tcBorders>
              <w:top w:val="nil"/>
              <w:left w:val="nil"/>
              <w:bottom w:val="nil"/>
              <w:right w:val="nil"/>
            </w:tcBorders>
            <w:shd w:val="clear" w:color="auto" w:fill="FFFFFF" w:themeFill="background1"/>
            <w:noWrap/>
            <w:vAlign w:val="bottom"/>
            <w:hideMark/>
          </w:tcPr>
          <w:p w14:paraId="044CD446" w14:textId="77777777" w:rsidR="00B66EBE" w:rsidRPr="000B54FE" w:rsidRDefault="00B66EBE" w:rsidP="002B3022">
            <w:pPr>
              <w:jc w:val="center"/>
              <w:rPr>
                <w:rFonts w:ascii="Arial" w:hAnsi="Arial" w:cs="Arial"/>
              </w:rPr>
            </w:pPr>
            <w:r w:rsidRPr="24740813">
              <w:rPr>
                <w:rFonts w:ascii="Arial" w:hAnsi="Arial" w:cs="Arial"/>
              </w:rPr>
              <w:t>34</w:t>
            </w:r>
          </w:p>
        </w:tc>
        <w:tc>
          <w:tcPr>
            <w:tcW w:w="1137" w:type="dxa"/>
            <w:tcBorders>
              <w:top w:val="nil"/>
              <w:left w:val="nil"/>
              <w:bottom w:val="nil"/>
              <w:right w:val="nil"/>
            </w:tcBorders>
            <w:shd w:val="clear" w:color="auto" w:fill="FFFFFF" w:themeFill="background1"/>
            <w:noWrap/>
            <w:vAlign w:val="bottom"/>
            <w:hideMark/>
          </w:tcPr>
          <w:p w14:paraId="12782D6A" w14:textId="77777777" w:rsidR="00B66EBE" w:rsidRPr="000B54FE" w:rsidRDefault="00B66EBE" w:rsidP="002B3022">
            <w:pPr>
              <w:jc w:val="center"/>
              <w:rPr>
                <w:rFonts w:ascii="Arial" w:hAnsi="Arial" w:cs="Arial"/>
              </w:rPr>
            </w:pPr>
            <w:r w:rsidRPr="1A7ED707">
              <w:rPr>
                <w:rFonts w:ascii="Arial" w:hAnsi="Arial" w:cs="Arial"/>
              </w:rPr>
              <w:t>41</w:t>
            </w:r>
          </w:p>
        </w:tc>
        <w:tc>
          <w:tcPr>
            <w:tcW w:w="1272" w:type="dxa"/>
            <w:tcBorders>
              <w:top w:val="nil"/>
              <w:left w:val="nil"/>
              <w:bottom w:val="nil"/>
              <w:right w:val="nil"/>
            </w:tcBorders>
            <w:shd w:val="clear" w:color="auto" w:fill="FFFFFF" w:themeFill="background1"/>
          </w:tcPr>
          <w:p w14:paraId="277306E3" w14:textId="77777777" w:rsidR="00B66EBE" w:rsidRPr="0A2BBA9F" w:rsidRDefault="00B66EBE" w:rsidP="002B3022">
            <w:pPr>
              <w:jc w:val="center"/>
              <w:rPr>
                <w:rFonts w:ascii="Arial" w:hAnsi="Arial" w:cs="Arial"/>
              </w:rPr>
            </w:pPr>
            <w:r w:rsidRPr="0A2BBA9F">
              <w:rPr>
                <w:rFonts w:ascii="Arial" w:hAnsi="Arial" w:cs="Arial"/>
              </w:rPr>
              <w:t>45%</w:t>
            </w:r>
          </w:p>
        </w:tc>
        <w:tc>
          <w:tcPr>
            <w:tcW w:w="1134" w:type="dxa"/>
            <w:tcBorders>
              <w:top w:val="nil"/>
              <w:left w:val="nil"/>
              <w:bottom w:val="nil"/>
              <w:right w:val="nil"/>
            </w:tcBorders>
            <w:shd w:val="clear" w:color="auto" w:fill="FFFFFF" w:themeFill="background1"/>
          </w:tcPr>
          <w:p w14:paraId="02DC01F8" w14:textId="77777777" w:rsidR="00B66EBE" w:rsidRPr="0A2BBA9F" w:rsidRDefault="00B66EBE" w:rsidP="002B3022">
            <w:pPr>
              <w:jc w:val="center"/>
              <w:rPr>
                <w:rFonts w:ascii="Arial" w:hAnsi="Arial" w:cs="Arial"/>
              </w:rPr>
            </w:pPr>
            <w:r w:rsidRPr="3AC4A872">
              <w:rPr>
                <w:rFonts w:ascii="Arial" w:hAnsi="Arial" w:cs="Arial"/>
              </w:rPr>
              <w:t>55</w:t>
            </w:r>
            <w:r w:rsidRPr="0A2BBA9F">
              <w:rPr>
                <w:rFonts w:ascii="Arial" w:hAnsi="Arial" w:cs="Arial"/>
              </w:rPr>
              <w:t>%</w:t>
            </w:r>
          </w:p>
        </w:tc>
      </w:tr>
      <w:tr w:rsidR="00B66EBE" w:rsidRPr="000B54FE" w14:paraId="11B196AC" w14:textId="77777777" w:rsidTr="002B3022">
        <w:trPr>
          <w:trHeight w:hRule="exact" w:val="397"/>
        </w:trPr>
        <w:tc>
          <w:tcPr>
            <w:tcW w:w="1992" w:type="dxa"/>
            <w:tcBorders>
              <w:top w:val="nil"/>
              <w:left w:val="nil"/>
              <w:bottom w:val="nil"/>
              <w:right w:val="nil"/>
            </w:tcBorders>
            <w:shd w:val="clear" w:color="auto" w:fill="FFFFFF" w:themeFill="background1"/>
            <w:noWrap/>
            <w:vAlign w:val="bottom"/>
            <w:hideMark/>
          </w:tcPr>
          <w:p w14:paraId="4BECB735" w14:textId="77777777" w:rsidR="00B66EBE" w:rsidRPr="000B54FE" w:rsidRDefault="00B66EBE" w:rsidP="002B3022">
            <w:pPr>
              <w:rPr>
                <w:rFonts w:ascii="Arial" w:hAnsi="Arial" w:cs="Arial"/>
              </w:rPr>
            </w:pPr>
            <w:r w:rsidRPr="000B54FE">
              <w:rPr>
                <w:rFonts w:ascii="Arial" w:hAnsi="Arial" w:cs="Arial"/>
              </w:rPr>
              <w:t xml:space="preserve">Upper </w:t>
            </w:r>
            <w:r>
              <w:rPr>
                <w:rFonts w:ascii="Arial" w:hAnsi="Arial" w:cs="Arial"/>
              </w:rPr>
              <w:t>hr rate</w:t>
            </w:r>
          </w:p>
        </w:tc>
        <w:tc>
          <w:tcPr>
            <w:tcW w:w="1127" w:type="dxa"/>
            <w:tcBorders>
              <w:top w:val="nil"/>
              <w:left w:val="nil"/>
              <w:bottom w:val="single" w:sz="4" w:space="0" w:color="auto"/>
              <w:right w:val="nil"/>
            </w:tcBorders>
            <w:shd w:val="clear" w:color="auto" w:fill="FFFFFF" w:themeFill="background1"/>
            <w:noWrap/>
            <w:vAlign w:val="bottom"/>
            <w:hideMark/>
          </w:tcPr>
          <w:p w14:paraId="533D4425" w14:textId="77777777" w:rsidR="00B66EBE" w:rsidRPr="000B54FE" w:rsidRDefault="00B66EBE" w:rsidP="002B3022">
            <w:pPr>
              <w:jc w:val="center"/>
              <w:rPr>
                <w:rFonts w:ascii="Arial" w:hAnsi="Arial" w:cs="Arial"/>
              </w:rPr>
            </w:pPr>
            <w:r>
              <w:rPr>
                <w:rFonts w:ascii="Arial" w:hAnsi="Arial" w:cs="Arial"/>
              </w:rPr>
              <w:t>£15.23</w:t>
            </w:r>
          </w:p>
        </w:tc>
        <w:tc>
          <w:tcPr>
            <w:tcW w:w="1137" w:type="dxa"/>
            <w:tcBorders>
              <w:top w:val="nil"/>
              <w:left w:val="nil"/>
              <w:bottom w:val="single" w:sz="4" w:space="0" w:color="auto"/>
              <w:right w:val="nil"/>
            </w:tcBorders>
            <w:shd w:val="clear" w:color="auto" w:fill="FFFFFF" w:themeFill="background1"/>
            <w:noWrap/>
            <w:vAlign w:val="bottom"/>
            <w:hideMark/>
          </w:tcPr>
          <w:p w14:paraId="706C1BC0" w14:textId="77777777" w:rsidR="00B66EBE" w:rsidRPr="000B54FE" w:rsidRDefault="00B66EBE" w:rsidP="002B3022">
            <w:pPr>
              <w:jc w:val="center"/>
              <w:rPr>
                <w:rFonts w:ascii="Arial" w:hAnsi="Arial" w:cs="Arial"/>
              </w:rPr>
            </w:pPr>
            <w:r>
              <w:rPr>
                <w:rFonts w:ascii="Arial" w:hAnsi="Arial" w:cs="Arial"/>
              </w:rPr>
              <w:t>£16.04</w:t>
            </w:r>
          </w:p>
        </w:tc>
        <w:tc>
          <w:tcPr>
            <w:tcW w:w="1273" w:type="dxa"/>
            <w:tcBorders>
              <w:top w:val="nil"/>
              <w:left w:val="nil"/>
              <w:bottom w:val="nil"/>
              <w:right w:val="nil"/>
            </w:tcBorders>
            <w:shd w:val="clear" w:color="auto" w:fill="FFFFFF" w:themeFill="background1"/>
            <w:noWrap/>
            <w:vAlign w:val="bottom"/>
            <w:hideMark/>
          </w:tcPr>
          <w:p w14:paraId="7E718C8F" w14:textId="77777777" w:rsidR="00B66EBE" w:rsidRPr="000B54FE" w:rsidRDefault="00B66EBE" w:rsidP="002B3022">
            <w:pPr>
              <w:jc w:val="center"/>
              <w:rPr>
                <w:rFonts w:ascii="Arial" w:hAnsi="Arial" w:cs="Arial"/>
              </w:rPr>
            </w:pPr>
            <w:r w:rsidRPr="7AEAD67B">
              <w:rPr>
                <w:rFonts w:ascii="Arial" w:hAnsi="Arial" w:cs="Arial"/>
              </w:rPr>
              <w:t>31</w:t>
            </w:r>
          </w:p>
        </w:tc>
        <w:tc>
          <w:tcPr>
            <w:tcW w:w="1137" w:type="dxa"/>
            <w:tcBorders>
              <w:top w:val="nil"/>
              <w:left w:val="nil"/>
              <w:bottom w:val="nil"/>
              <w:right w:val="nil"/>
            </w:tcBorders>
            <w:shd w:val="clear" w:color="auto" w:fill="FFFFFF" w:themeFill="background1"/>
            <w:noWrap/>
            <w:vAlign w:val="bottom"/>
            <w:hideMark/>
          </w:tcPr>
          <w:p w14:paraId="652A34DF" w14:textId="77777777" w:rsidR="00B66EBE" w:rsidRPr="000B54FE" w:rsidRDefault="00B66EBE" w:rsidP="002B3022">
            <w:pPr>
              <w:jc w:val="center"/>
              <w:rPr>
                <w:rFonts w:ascii="Arial" w:hAnsi="Arial" w:cs="Arial"/>
              </w:rPr>
            </w:pPr>
            <w:r>
              <w:rPr>
                <w:rFonts w:ascii="Arial" w:hAnsi="Arial" w:cs="Arial"/>
              </w:rPr>
              <w:t>44</w:t>
            </w:r>
          </w:p>
        </w:tc>
        <w:tc>
          <w:tcPr>
            <w:tcW w:w="1272" w:type="dxa"/>
            <w:tcBorders>
              <w:top w:val="nil"/>
              <w:left w:val="nil"/>
              <w:bottom w:val="nil"/>
              <w:right w:val="nil"/>
            </w:tcBorders>
            <w:shd w:val="clear" w:color="auto" w:fill="FFFFFF" w:themeFill="background1"/>
          </w:tcPr>
          <w:p w14:paraId="1F3B30A5" w14:textId="77777777" w:rsidR="00B66EBE" w:rsidRPr="587BFE06" w:rsidRDefault="00B66EBE" w:rsidP="002B3022">
            <w:pPr>
              <w:jc w:val="center"/>
              <w:rPr>
                <w:rFonts w:ascii="Arial" w:hAnsi="Arial" w:cs="Arial"/>
              </w:rPr>
            </w:pPr>
            <w:r w:rsidRPr="587BFE06">
              <w:rPr>
                <w:rFonts w:ascii="Arial" w:hAnsi="Arial" w:cs="Arial"/>
              </w:rPr>
              <w:t>41%</w:t>
            </w:r>
          </w:p>
        </w:tc>
        <w:tc>
          <w:tcPr>
            <w:tcW w:w="1134" w:type="dxa"/>
            <w:tcBorders>
              <w:top w:val="nil"/>
              <w:left w:val="nil"/>
              <w:bottom w:val="nil"/>
              <w:right w:val="nil"/>
            </w:tcBorders>
            <w:shd w:val="clear" w:color="auto" w:fill="FFFFFF" w:themeFill="background1"/>
          </w:tcPr>
          <w:p w14:paraId="3CC5F76B" w14:textId="77777777" w:rsidR="00B66EBE" w:rsidRPr="587BFE06" w:rsidRDefault="00B66EBE" w:rsidP="002B3022">
            <w:pPr>
              <w:jc w:val="center"/>
              <w:rPr>
                <w:rFonts w:ascii="Arial" w:hAnsi="Arial" w:cs="Arial"/>
              </w:rPr>
            </w:pPr>
            <w:r w:rsidRPr="587BFE06">
              <w:rPr>
                <w:rFonts w:ascii="Arial" w:hAnsi="Arial" w:cs="Arial"/>
              </w:rPr>
              <w:t>59%</w:t>
            </w:r>
          </w:p>
        </w:tc>
      </w:tr>
      <w:tr w:rsidR="00B66EBE" w:rsidRPr="000B54FE" w14:paraId="57FA2E6D" w14:textId="77777777" w:rsidTr="002B3022">
        <w:trPr>
          <w:trHeight w:hRule="exact" w:val="397"/>
        </w:trPr>
        <w:tc>
          <w:tcPr>
            <w:tcW w:w="1992" w:type="dxa"/>
            <w:tcBorders>
              <w:top w:val="nil"/>
              <w:left w:val="nil"/>
              <w:bottom w:val="nil"/>
              <w:right w:val="nil"/>
            </w:tcBorders>
            <w:shd w:val="clear" w:color="auto" w:fill="FFFFFF" w:themeFill="background1"/>
            <w:noWrap/>
            <w:vAlign w:val="bottom"/>
            <w:hideMark/>
          </w:tcPr>
          <w:p w14:paraId="64EDECF2" w14:textId="77777777" w:rsidR="00B66EBE" w:rsidRPr="000B54FE" w:rsidRDefault="00B66EBE" w:rsidP="002B3022">
            <w:pPr>
              <w:rPr>
                <w:rFonts w:ascii="Arial" w:hAnsi="Arial" w:cs="Arial"/>
              </w:rPr>
            </w:pPr>
          </w:p>
        </w:tc>
        <w:tc>
          <w:tcPr>
            <w:tcW w:w="1127" w:type="dxa"/>
            <w:tcBorders>
              <w:top w:val="nil"/>
              <w:left w:val="nil"/>
              <w:bottom w:val="nil"/>
              <w:right w:val="nil"/>
            </w:tcBorders>
            <w:shd w:val="clear" w:color="auto" w:fill="FFFFFF" w:themeFill="background1"/>
            <w:noWrap/>
            <w:vAlign w:val="bottom"/>
          </w:tcPr>
          <w:p w14:paraId="16A7DD0E" w14:textId="77777777" w:rsidR="00B66EBE" w:rsidRPr="000B54FE" w:rsidRDefault="00B66EBE" w:rsidP="002B3022">
            <w:pPr>
              <w:rPr>
                <w:rFonts w:ascii="Arial" w:hAnsi="Arial" w:cs="Arial"/>
              </w:rPr>
            </w:pPr>
          </w:p>
        </w:tc>
        <w:tc>
          <w:tcPr>
            <w:tcW w:w="1137" w:type="dxa"/>
            <w:tcBorders>
              <w:top w:val="nil"/>
              <w:left w:val="nil"/>
              <w:bottom w:val="nil"/>
              <w:right w:val="nil"/>
            </w:tcBorders>
            <w:shd w:val="clear" w:color="auto" w:fill="FFFFFF" w:themeFill="background1"/>
            <w:noWrap/>
            <w:vAlign w:val="bottom"/>
          </w:tcPr>
          <w:p w14:paraId="40D80D18" w14:textId="77777777" w:rsidR="00B66EBE" w:rsidRPr="000B54FE" w:rsidRDefault="00B66EBE" w:rsidP="002B3022">
            <w:pPr>
              <w:rPr>
                <w:rFonts w:ascii="Arial" w:hAnsi="Arial" w:cs="Arial"/>
              </w:rPr>
            </w:pPr>
          </w:p>
        </w:tc>
        <w:tc>
          <w:tcPr>
            <w:tcW w:w="1273" w:type="dxa"/>
            <w:tcBorders>
              <w:top w:val="single" w:sz="4" w:space="0" w:color="auto"/>
              <w:left w:val="nil"/>
              <w:bottom w:val="nil"/>
              <w:right w:val="nil"/>
            </w:tcBorders>
            <w:shd w:val="clear" w:color="auto" w:fill="FFFFFF" w:themeFill="background1"/>
            <w:noWrap/>
            <w:vAlign w:val="bottom"/>
            <w:hideMark/>
          </w:tcPr>
          <w:p w14:paraId="3B7B3599" w14:textId="77777777" w:rsidR="00B66EBE" w:rsidRPr="000B54FE" w:rsidRDefault="00B66EBE" w:rsidP="002B3022">
            <w:pPr>
              <w:jc w:val="center"/>
              <w:rPr>
                <w:rFonts w:ascii="Arial" w:hAnsi="Arial" w:cs="Arial"/>
              </w:rPr>
            </w:pPr>
            <w:r>
              <w:rPr>
                <w:rFonts w:ascii="Arial" w:hAnsi="Arial" w:cs="Arial"/>
              </w:rPr>
              <w:t>123</w:t>
            </w:r>
          </w:p>
        </w:tc>
        <w:tc>
          <w:tcPr>
            <w:tcW w:w="1137" w:type="dxa"/>
            <w:tcBorders>
              <w:top w:val="single" w:sz="4" w:space="0" w:color="auto"/>
              <w:left w:val="nil"/>
              <w:bottom w:val="nil"/>
              <w:right w:val="nil"/>
            </w:tcBorders>
            <w:shd w:val="clear" w:color="auto" w:fill="FFFFFF" w:themeFill="background1"/>
            <w:noWrap/>
            <w:vAlign w:val="bottom"/>
            <w:hideMark/>
          </w:tcPr>
          <w:p w14:paraId="00C40D4C" w14:textId="77777777" w:rsidR="00B66EBE" w:rsidRPr="000B54FE" w:rsidRDefault="00B66EBE" w:rsidP="002B3022">
            <w:pPr>
              <w:jc w:val="center"/>
              <w:rPr>
                <w:rFonts w:ascii="Arial" w:hAnsi="Arial" w:cs="Arial"/>
              </w:rPr>
            </w:pPr>
            <w:r>
              <w:rPr>
                <w:rFonts w:ascii="Arial" w:hAnsi="Arial" w:cs="Arial"/>
              </w:rPr>
              <w:t>178</w:t>
            </w:r>
          </w:p>
        </w:tc>
        <w:tc>
          <w:tcPr>
            <w:tcW w:w="1272" w:type="dxa"/>
            <w:tcBorders>
              <w:top w:val="single" w:sz="4" w:space="0" w:color="auto"/>
              <w:left w:val="nil"/>
              <w:bottom w:val="nil"/>
              <w:right w:val="nil"/>
            </w:tcBorders>
            <w:shd w:val="clear" w:color="auto" w:fill="FFFFFF" w:themeFill="background1"/>
          </w:tcPr>
          <w:p w14:paraId="7C3EC07F" w14:textId="77777777" w:rsidR="00B66EBE" w:rsidRDefault="00B66EBE" w:rsidP="002B3022">
            <w:pPr>
              <w:jc w:val="center"/>
              <w:rPr>
                <w:rFonts w:ascii="Arial" w:hAnsi="Arial" w:cs="Arial"/>
              </w:rPr>
            </w:pPr>
          </w:p>
        </w:tc>
        <w:tc>
          <w:tcPr>
            <w:tcW w:w="1134" w:type="dxa"/>
            <w:tcBorders>
              <w:top w:val="single" w:sz="4" w:space="0" w:color="auto"/>
              <w:left w:val="nil"/>
              <w:bottom w:val="nil"/>
              <w:right w:val="nil"/>
            </w:tcBorders>
            <w:shd w:val="clear" w:color="auto" w:fill="FFFFFF" w:themeFill="background1"/>
          </w:tcPr>
          <w:p w14:paraId="0E6BC891" w14:textId="77777777" w:rsidR="00B66EBE" w:rsidRDefault="00B66EBE" w:rsidP="002B3022">
            <w:pPr>
              <w:jc w:val="center"/>
              <w:rPr>
                <w:rFonts w:ascii="Arial" w:hAnsi="Arial" w:cs="Arial"/>
              </w:rPr>
            </w:pPr>
          </w:p>
        </w:tc>
      </w:tr>
    </w:tbl>
    <w:p w14:paraId="33D3FDF0" w14:textId="77777777" w:rsidR="00B66EBE" w:rsidRDefault="00B66EBE" w:rsidP="00B66EBE">
      <w:pPr>
        <w:pStyle w:val="NormalWeb"/>
        <w:shd w:val="clear" w:color="auto" w:fill="FFFFFF"/>
        <w:spacing w:before="0" w:beforeAutospacing="0" w:after="0" w:afterAutospacing="0"/>
        <w:rPr>
          <w:rFonts w:ascii="Arial" w:hAnsi="Arial" w:cs="Arial"/>
          <w:color w:val="212529"/>
        </w:rPr>
      </w:pPr>
    </w:p>
    <w:p w14:paraId="66C1C111" w14:textId="77777777" w:rsidR="00B66EBE" w:rsidRDefault="00B66EBE" w:rsidP="00B66EBE">
      <w:pPr>
        <w:pStyle w:val="NormalWeb"/>
        <w:shd w:val="clear" w:color="auto" w:fill="FFFFFF"/>
        <w:spacing w:before="0" w:beforeAutospacing="0" w:after="0" w:afterAutospacing="0"/>
        <w:rPr>
          <w:rFonts w:ascii="Arial" w:hAnsi="Arial" w:cs="Arial"/>
          <w:color w:val="212529"/>
        </w:rPr>
      </w:pPr>
      <w:r>
        <w:rPr>
          <w:rFonts w:ascii="Arial" w:hAnsi="Arial" w:cs="Arial"/>
          <w:color w:val="212529"/>
        </w:rPr>
        <w:t xml:space="preserve">PFI </w:t>
      </w:r>
      <w:r w:rsidRPr="005F075C">
        <w:rPr>
          <w:rFonts w:ascii="Arial" w:hAnsi="Arial" w:cs="Arial"/>
          <w:color w:val="212529"/>
        </w:rPr>
        <w:t>ensur</w:t>
      </w:r>
      <w:r>
        <w:rPr>
          <w:rFonts w:ascii="Arial" w:hAnsi="Arial" w:cs="Arial"/>
          <w:color w:val="212529"/>
        </w:rPr>
        <w:t>es</w:t>
      </w:r>
      <w:r w:rsidRPr="005F075C">
        <w:rPr>
          <w:rFonts w:ascii="Arial" w:hAnsi="Arial" w:cs="Arial"/>
          <w:color w:val="212529"/>
        </w:rPr>
        <w:t xml:space="preserve"> that men and women are paid fairly and equally for the same or similar roles.</w:t>
      </w:r>
      <w:r>
        <w:rPr>
          <w:rFonts w:ascii="Arial" w:hAnsi="Arial" w:cs="Arial"/>
          <w:color w:val="212529"/>
        </w:rPr>
        <w:t xml:space="preserve">  This is borne out with a low average gap and identical salaries on a median basis.</w:t>
      </w:r>
    </w:p>
    <w:p w14:paraId="3218A40F" w14:textId="77777777" w:rsidR="00B66EBE" w:rsidRPr="005F075C" w:rsidRDefault="00B66EBE" w:rsidP="00B66EBE">
      <w:pPr>
        <w:pStyle w:val="NormalWeb"/>
        <w:shd w:val="clear" w:color="auto" w:fill="FFFFFF"/>
        <w:spacing w:before="0" w:beforeAutospacing="0" w:after="0" w:afterAutospacing="0"/>
        <w:rPr>
          <w:rFonts w:ascii="Arial" w:hAnsi="Arial" w:cs="Arial"/>
          <w:color w:val="212529"/>
        </w:rPr>
      </w:pPr>
    </w:p>
    <w:p w14:paraId="765AA917" w14:textId="77777777" w:rsidR="00B66EBE" w:rsidRDefault="00B66EBE" w:rsidP="00B66EBE">
      <w:pPr>
        <w:pStyle w:val="NormalWeb"/>
        <w:shd w:val="clear" w:color="auto" w:fill="FFFFFF"/>
        <w:spacing w:before="0" w:beforeAutospacing="0" w:after="0" w:afterAutospacing="0"/>
        <w:rPr>
          <w:rFonts w:ascii="Arial" w:hAnsi="Arial" w:cs="Arial"/>
          <w:color w:val="212529"/>
        </w:rPr>
      </w:pPr>
      <w:r>
        <w:rPr>
          <w:rFonts w:ascii="Arial" w:hAnsi="Arial" w:cs="Arial"/>
          <w:color w:val="212529"/>
        </w:rPr>
        <w:t>We do</w:t>
      </w:r>
      <w:r w:rsidRPr="005F075C">
        <w:rPr>
          <w:rFonts w:ascii="Arial" w:hAnsi="Arial" w:cs="Arial"/>
          <w:color w:val="212529"/>
        </w:rPr>
        <w:t xml:space="preserve"> not pay bonuses </w:t>
      </w:r>
      <w:r>
        <w:rPr>
          <w:rFonts w:ascii="Arial" w:hAnsi="Arial" w:cs="Arial"/>
          <w:color w:val="212529"/>
        </w:rPr>
        <w:t>but do pay an on-call allowance.  The figures above include that allowance.</w:t>
      </w:r>
    </w:p>
    <w:p w14:paraId="0F15C8CD" w14:textId="77777777" w:rsidR="00B66EBE" w:rsidRDefault="00B66EBE" w:rsidP="00B66EBE">
      <w:pPr>
        <w:pStyle w:val="NormalWeb"/>
        <w:shd w:val="clear" w:color="auto" w:fill="FFFFFF"/>
        <w:spacing w:before="0" w:beforeAutospacing="0" w:after="0" w:afterAutospacing="0"/>
        <w:rPr>
          <w:rFonts w:ascii="Arial" w:hAnsi="Arial" w:cs="Arial"/>
          <w:color w:val="212529"/>
        </w:rPr>
      </w:pPr>
    </w:p>
    <w:p w14:paraId="51C5143F" w14:textId="77777777" w:rsidR="00B66EBE" w:rsidRDefault="00B66EBE" w:rsidP="00B66EBE">
      <w:pPr>
        <w:pStyle w:val="NormalWeb"/>
        <w:shd w:val="clear" w:color="auto" w:fill="FFFFFF"/>
        <w:spacing w:before="0" w:beforeAutospacing="0" w:after="0" w:afterAutospacing="0"/>
        <w:rPr>
          <w:rFonts w:ascii="Arial" w:hAnsi="Arial" w:cs="Arial"/>
          <w:color w:val="212529"/>
        </w:rPr>
      </w:pPr>
      <w:r>
        <w:rPr>
          <w:rFonts w:ascii="Arial" w:hAnsi="Arial" w:cs="Arial"/>
          <w:color w:val="212529"/>
        </w:rPr>
        <w:t>Previous years’ reports are given undernoted.</w:t>
      </w:r>
    </w:p>
    <w:p w14:paraId="10A6A26F" w14:textId="77777777" w:rsidR="00B66EBE" w:rsidRDefault="00B66EBE" w:rsidP="00B66EBE">
      <w:pPr>
        <w:pStyle w:val="NormalWeb"/>
        <w:shd w:val="clear" w:color="auto" w:fill="FFFFFF"/>
        <w:spacing w:before="0" w:beforeAutospacing="0" w:after="0" w:afterAutospacing="0"/>
        <w:rPr>
          <w:rFonts w:ascii="Arial" w:hAnsi="Arial" w:cs="Arial"/>
          <w:color w:val="212529"/>
        </w:rPr>
      </w:pPr>
    </w:p>
    <w:p w14:paraId="4916B828" w14:textId="77777777" w:rsidR="00B66EBE" w:rsidRDefault="00B66EBE" w:rsidP="00B66EBE">
      <w:pPr>
        <w:pStyle w:val="NormalWeb"/>
        <w:shd w:val="clear" w:color="auto" w:fill="FFFFFF"/>
        <w:spacing w:before="0" w:beforeAutospacing="0" w:after="0" w:afterAutospacing="0"/>
        <w:rPr>
          <w:rFonts w:ascii="Arial" w:hAnsi="Arial" w:cs="Arial"/>
          <w:color w:val="212529"/>
        </w:rPr>
      </w:pPr>
      <w:r>
        <w:rPr>
          <w:rFonts w:ascii="Arial" w:hAnsi="Arial" w:cs="Arial"/>
          <w:color w:val="212529"/>
        </w:rPr>
        <w:t>Gamal Haddou</w:t>
      </w:r>
    </w:p>
    <w:p w14:paraId="07A3BA90" w14:textId="77777777" w:rsidR="00B66EBE" w:rsidRDefault="00B66EBE" w:rsidP="00B66EBE">
      <w:pPr>
        <w:pStyle w:val="NormalWeb"/>
        <w:shd w:val="clear" w:color="auto" w:fill="FFFFFF"/>
        <w:spacing w:before="0" w:beforeAutospacing="0" w:after="0" w:afterAutospacing="0"/>
        <w:rPr>
          <w:rFonts w:ascii="Arial" w:hAnsi="Arial" w:cs="Arial"/>
          <w:color w:val="212529"/>
        </w:rPr>
      </w:pPr>
      <w:r>
        <w:rPr>
          <w:rFonts w:ascii="Arial" w:hAnsi="Arial" w:cs="Arial"/>
          <w:color w:val="212529"/>
        </w:rPr>
        <w:t>Director of Finance &amp; IT</w:t>
      </w:r>
    </w:p>
    <w:p w14:paraId="2F38EC99" w14:textId="77777777" w:rsidR="00B66EBE" w:rsidRDefault="00B66EBE" w:rsidP="00B66EBE">
      <w:pPr>
        <w:pStyle w:val="NormalWeb"/>
        <w:shd w:val="clear" w:color="auto" w:fill="FFFFFF"/>
        <w:spacing w:before="0" w:beforeAutospacing="0" w:after="0" w:afterAutospacing="0"/>
        <w:rPr>
          <w:rFonts w:ascii="Arial" w:hAnsi="Arial" w:cs="Arial"/>
          <w:color w:val="212529"/>
        </w:rPr>
      </w:pPr>
    </w:p>
    <w:p w14:paraId="35D96B98" w14:textId="77777777" w:rsidR="00B66EBE" w:rsidRDefault="00B66EBE" w:rsidP="00B66EBE">
      <w:pPr>
        <w:pStyle w:val="NormalWeb"/>
        <w:shd w:val="clear" w:color="auto" w:fill="FFFFFF"/>
        <w:spacing w:before="0" w:beforeAutospacing="0" w:after="0" w:afterAutospacing="0"/>
        <w:rPr>
          <w:rFonts w:ascii="Arial" w:hAnsi="Arial" w:cs="Arial"/>
          <w:color w:val="212529"/>
        </w:rPr>
      </w:pPr>
      <w:r>
        <w:rPr>
          <w:rFonts w:ascii="Arial" w:hAnsi="Arial" w:cs="Arial"/>
          <w:color w:val="212529"/>
        </w:rPr>
        <w:t>Published 7 March 2025</w:t>
      </w:r>
    </w:p>
    <w:p w14:paraId="71018107" w14:textId="77777777" w:rsidR="00B66EBE" w:rsidRDefault="00B66EBE" w:rsidP="00B66EBE">
      <w:pPr>
        <w:pStyle w:val="NormalWeb"/>
        <w:shd w:val="clear" w:color="auto" w:fill="FFFFFF"/>
        <w:spacing w:before="0" w:beforeAutospacing="0" w:after="0" w:afterAutospacing="0"/>
        <w:rPr>
          <w:rFonts w:ascii="Arial" w:hAnsi="Arial" w:cs="Arial"/>
          <w:color w:val="212529"/>
        </w:rPr>
      </w:pPr>
    </w:p>
    <w:p w14:paraId="61BFEF70" w14:textId="77777777" w:rsidR="00B66EBE" w:rsidRPr="00377AD1" w:rsidRDefault="00B66EBE" w:rsidP="00B66EBE">
      <w:pPr>
        <w:rPr>
          <w:rFonts w:ascii="Arial" w:hAnsi="Arial" w:cs="Arial"/>
          <w:b/>
          <w:bCs/>
        </w:rPr>
      </w:pPr>
      <w:r w:rsidRPr="00377AD1">
        <w:rPr>
          <w:b/>
          <w:bCs/>
          <w:noProof/>
          <w:u w:val="single"/>
          <w:lang w:eastAsia="en-GB"/>
        </w:rPr>
        <w:drawing>
          <wp:anchor distT="0" distB="0" distL="114300" distR="114300" simplePos="0" relativeHeight="251661312" behindDoc="0" locked="0" layoutInCell="1" allowOverlap="1" wp14:anchorId="70803EDC" wp14:editId="02F87C08">
            <wp:simplePos x="0" y="0"/>
            <wp:positionH relativeFrom="margin">
              <wp:posOffset>4759325</wp:posOffset>
            </wp:positionH>
            <wp:positionV relativeFrom="margin">
              <wp:posOffset>-372745</wp:posOffset>
            </wp:positionV>
            <wp:extent cx="1306830" cy="533400"/>
            <wp:effectExtent l="0" t="0" r="7620" b="0"/>
            <wp:wrapSquare wrapText="bothSides"/>
            <wp:docPr id="2128245038" name="Picture 212824503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683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7AD1">
        <w:rPr>
          <w:rFonts w:ascii="Arial" w:hAnsi="Arial" w:cs="Arial"/>
          <w:b/>
          <w:bCs/>
        </w:rPr>
        <w:t>April 202</w:t>
      </w:r>
      <w:r>
        <w:rPr>
          <w:rFonts w:ascii="Arial" w:hAnsi="Arial" w:cs="Arial"/>
          <w:b/>
          <w:bCs/>
        </w:rPr>
        <w:t>3</w:t>
      </w:r>
    </w:p>
    <w:p w14:paraId="1B518C4F" w14:textId="77777777" w:rsidR="00B66EBE" w:rsidRPr="009C6347" w:rsidRDefault="00B66EBE" w:rsidP="00B66EBE">
      <w:pPr>
        <w:pStyle w:val="NormalWeb"/>
        <w:rPr>
          <w:rFonts w:ascii="Arial" w:hAnsi="Arial" w:cs="Arial"/>
          <w:color w:val="000000"/>
        </w:rPr>
      </w:pPr>
      <w:r w:rsidRPr="00F54610">
        <w:rPr>
          <w:rFonts w:ascii="Arial" w:hAnsi="Arial" w:cs="Arial"/>
          <w:color w:val="000000"/>
        </w:rPr>
        <w:t xml:space="preserve">Any employer with </w:t>
      </w:r>
      <w:r>
        <w:rPr>
          <w:rFonts w:ascii="Arial" w:hAnsi="Arial" w:cs="Arial"/>
          <w:color w:val="000000"/>
        </w:rPr>
        <w:t xml:space="preserve">over </w:t>
      </w:r>
      <w:r w:rsidRPr="00F54610">
        <w:rPr>
          <w:rFonts w:ascii="Arial" w:hAnsi="Arial" w:cs="Arial"/>
          <w:color w:val="000000"/>
        </w:rPr>
        <w:t xml:space="preserve">250 employees must </w:t>
      </w:r>
      <w:r>
        <w:rPr>
          <w:rFonts w:ascii="Arial" w:hAnsi="Arial" w:cs="Arial"/>
          <w:color w:val="000000"/>
        </w:rPr>
        <w:t xml:space="preserve">formally </w:t>
      </w:r>
      <w:r w:rsidRPr="00F54610">
        <w:rPr>
          <w:rFonts w:ascii="Arial" w:hAnsi="Arial" w:cs="Arial"/>
          <w:color w:val="000000"/>
        </w:rPr>
        <w:t>report their gender pay gap data.</w:t>
      </w:r>
      <w:r>
        <w:rPr>
          <w:rFonts w:ascii="Arial" w:hAnsi="Arial" w:cs="Arial"/>
          <w:color w:val="000000"/>
        </w:rPr>
        <w:t xml:space="preserve">  PFI employ 284 staff and hence information is taken as at the month of April 2023 being where the “snapshot date” falls.</w:t>
      </w:r>
    </w:p>
    <w:p w14:paraId="22806667" w14:textId="77777777" w:rsidR="00B66EBE" w:rsidRPr="009C6347" w:rsidRDefault="00B66EBE" w:rsidP="00B66EBE">
      <w:pPr>
        <w:pStyle w:val="NormalWeb"/>
        <w:rPr>
          <w:rFonts w:ascii="Arial" w:hAnsi="Arial" w:cs="Arial"/>
          <w:color w:val="000000"/>
        </w:rPr>
      </w:pPr>
      <w:r w:rsidRPr="009C6347">
        <w:rPr>
          <w:rFonts w:ascii="Arial" w:hAnsi="Arial" w:cs="Arial"/>
          <w:color w:val="000000"/>
        </w:rPr>
        <w:t xml:space="preserve">The median gender pay gap is the % difference between the “middle point” hourly rate of pay of all male full-pay relevant employees and that of female full-pay relevant employees. </w:t>
      </w:r>
      <w:r>
        <w:rPr>
          <w:rFonts w:ascii="Arial" w:hAnsi="Arial" w:cs="Arial"/>
          <w:color w:val="000000"/>
        </w:rPr>
        <w:t xml:space="preserve"> </w:t>
      </w:r>
      <w:r w:rsidRPr="009C6347">
        <w:rPr>
          <w:rFonts w:ascii="Arial" w:hAnsi="Arial" w:cs="Arial"/>
          <w:color w:val="000000"/>
        </w:rPr>
        <w:t>For example</w:t>
      </w:r>
      <w:r>
        <w:rPr>
          <w:rFonts w:ascii="Arial" w:hAnsi="Arial" w:cs="Arial"/>
          <w:color w:val="000000"/>
        </w:rPr>
        <w:t>,</w:t>
      </w:r>
      <w:r w:rsidRPr="009C6347">
        <w:rPr>
          <w:rFonts w:ascii="Arial" w:hAnsi="Arial" w:cs="Arial"/>
          <w:color w:val="000000"/>
        </w:rPr>
        <w:t xml:space="preserve"> if there were </w:t>
      </w:r>
      <w:r>
        <w:rPr>
          <w:rFonts w:ascii="Arial" w:hAnsi="Arial" w:cs="Arial"/>
          <w:color w:val="000000"/>
        </w:rPr>
        <w:t>100</w:t>
      </w:r>
      <w:r w:rsidRPr="009C6347">
        <w:rPr>
          <w:rFonts w:ascii="Arial" w:hAnsi="Arial" w:cs="Arial"/>
          <w:color w:val="000000"/>
        </w:rPr>
        <w:t xml:space="preserve"> employees</w:t>
      </w:r>
      <w:r>
        <w:rPr>
          <w:rFonts w:ascii="Arial" w:hAnsi="Arial" w:cs="Arial"/>
          <w:color w:val="000000"/>
        </w:rPr>
        <w:t xml:space="preserve"> </w:t>
      </w:r>
      <w:r w:rsidRPr="009C6347">
        <w:rPr>
          <w:rFonts w:ascii="Arial" w:hAnsi="Arial" w:cs="Arial"/>
          <w:color w:val="000000"/>
        </w:rPr>
        <w:t xml:space="preserve">ordered by </w:t>
      </w:r>
      <w:r>
        <w:rPr>
          <w:rFonts w:ascii="Arial" w:hAnsi="Arial" w:cs="Arial"/>
          <w:color w:val="000000"/>
        </w:rPr>
        <w:t xml:space="preserve">their </w:t>
      </w:r>
      <w:r w:rsidRPr="009C6347">
        <w:rPr>
          <w:rFonts w:ascii="Arial" w:hAnsi="Arial" w:cs="Arial"/>
          <w:color w:val="000000"/>
        </w:rPr>
        <w:t xml:space="preserve">hourly rate, then the median point would be the rate for </w:t>
      </w:r>
      <w:r>
        <w:rPr>
          <w:rFonts w:ascii="Arial" w:hAnsi="Arial" w:cs="Arial"/>
          <w:color w:val="000000"/>
        </w:rPr>
        <w:t>the 50</w:t>
      </w:r>
      <w:r w:rsidRPr="00DD4224">
        <w:rPr>
          <w:rFonts w:ascii="Arial" w:hAnsi="Arial" w:cs="Arial"/>
          <w:color w:val="000000"/>
          <w:vertAlign w:val="superscript"/>
        </w:rPr>
        <w:t>th</w:t>
      </w:r>
      <w:r>
        <w:rPr>
          <w:rFonts w:ascii="Arial" w:hAnsi="Arial" w:cs="Arial"/>
          <w:color w:val="000000"/>
        </w:rPr>
        <w:t xml:space="preserve"> e</w:t>
      </w:r>
      <w:r w:rsidRPr="009C6347">
        <w:rPr>
          <w:rFonts w:ascii="Arial" w:hAnsi="Arial" w:cs="Arial"/>
          <w:color w:val="000000"/>
        </w:rPr>
        <w:t>mployee.</w:t>
      </w:r>
    </w:p>
    <w:p w14:paraId="32E53DA2" w14:textId="77777777" w:rsidR="00B66EBE" w:rsidRPr="009C6347" w:rsidRDefault="00B66EBE" w:rsidP="00B66EBE">
      <w:pPr>
        <w:pStyle w:val="NormalWeb"/>
        <w:rPr>
          <w:rFonts w:ascii="Arial" w:hAnsi="Arial" w:cs="Arial"/>
          <w:color w:val="000000"/>
        </w:rPr>
      </w:pPr>
      <w:r w:rsidRPr="009C6347">
        <w:rPr>
          <w:rFonts w:ascii="Arial" w:hAnsi="Arial" w:cs="Arial"/>
          <w:color w:val="000000"/>
        </w:rPr>
        <w:t xml:space="preserve">The median hourly rate for both males and females for the </w:t>
      </w:r>
      <w:r>
        <w:rPr>
          <w:rFonts w:ascii="Arial" w:hAnsi="Arial" w:cs="Arial"/>
          <w:color w:val="000000"/>
        </w:rPr>
        <w:t>month</w:t>
      </w:r>
      <w:r w:rsidRPr="009C6347">
        <w:rPr>
          <w:rFonts w:ascii="Arial" w:hAnsi="Arial" w:cs="Arial"/>
          <w:color w:val="000000"/>
        </w:rPr>
        <w:t xml:space="preserve"> </w:t>
      </w:r>
      <w:r>
        <w:rPr>
          <w:rFonts w:ascii="Arial" w:hAnsi="Arial" w:cs="Arial"/>
          <w:color w:val="000000"/>
        </w:rPr>
        <w:t>is</w:t>
      </w:r>
      <w:r w:rsidRPr="009C6347">
        <w:rPr>
          <w:rFonts w:ascii="Arial" w:hAnsi="Arial" w:cs="Arial"/>
          <w:color w:val="000000"/>
        </w:rPr>
        <w:t xml:space="preserve"> £</w:t>
      </w:r>
      <w:r>
        <w:rPr>
          <w:rFonts w:ascii="Arial" w:hAnsi="Arial" w:cs="Arial"/>
          <w:color w:val="000000"/>
        </w:rPr>
        <w:t>10.90</w:t>
      </w:r>
      <w:r w:rsidRPr="009C6347">
        <w:rPr>
          <w:rFonts w:ascii="Arial" w:hAnsi="Arial" w:cs="Arial"/>
          <w:color w:val="000000"/>
        </w:rPr>
        <w:t xml:space="preserve"> – so the gap on this basis is zero.</w:t>
      </w:r>
    </w:p>
    <w:p w14:paraId="1F7A3CE1" w14:textId="77777777" w:rsidR="00B66EBE" w:rsidRPr="009C6347" w:rsidRDefault="00B66EBE" w:rsidP="00B66EBE">
      <w:pPr>
        <w:pStyle w:val="NormalWeb"/>
        <w:rPr>
          <w:rFonts w:ascii="Arial" w:hAnsi="Arial" w:cs="Arial"/>
          <w:color w:val="000000"/>
        </w:rPr>
      </w:pPr>
      <w:r w:rsidRPr="009C6347">
        <w:rPr>
          <w:rFonts w:ascii="Arial" w:hAnsi="Arial" w:cs="Arial"/>
          <w:color w:val="000000"/>
        </w:rPr>
        <w:t xml:space="preserve">The mean gender pay gap is the </w:t>
      </w:r>
      <w:r>
        <w:rPr>
          <w:rFonts w:ascii="Arial" w:hAnsi="Arial" w:cs="Arial"/>
          <w:color w:val="000000"/>
        </w:rPr>
        <w:t xml:space="preserve">percentage </w:t>
      </w:r>
      <w:r w:rsidRPr="009C6347">
        <w:rPr>
          <w:rFonts w:ascii="Arial" w:hAnsi="Arial" w:cs="Arial"/>
          <w:color w:val="000000"/>
        </w:rPr>
        <w:t>difference between the average hourly rate of pay of male full-pay relevant employees and that of female full-pay relevant employees.</w:t>
      </w:r>
    </w:p>
    <w:p w14:paraId="2F7E5317" w14:textId="77777777" w:rsidR="00B66EBE" w:rsidRPr="00926B09" w:rsidRDefault="00B66EBE" w:rsidP="00B66EBE">
      <w:pPr>
        <w:pStyle w:val="NormalWeb"/>
        <w:rPr>
          <w:rFonts w:ascii="Arial" w:hAnsi="Arial" w:cs="Arial"/>
          <w:color w:val="000000"/>
        </w:rPr>
      </w:pPr>
      <w:r w:rsidRPr="009C6347">
        <w:rPr>
          <w:rFonts w:ascii="Arial" w:hAnsi="Arial" w:cs="Arial"/>
          <w:color w:val="000000"/>
        </w:rPr>
        <w:t xml:space="preserve">The mean gender pay gap in </w:t>
      </w:r>
      <w:r w:rsidRPr="005F075C">
        <w:rPr>
          <w:rFonts w:ascii="Arial" w:hAnsi="Arial" w:cs="Arial"/>
          <w:color w:val="000000"/>
        </w:rPr>
        <w:t>hourly pay is</w:t>
      </w:r>
      <w:r>
        <w:rPr>
          <w:rFonts w:ascii="Arial" w:hAnsi="Arial" w:cs="Arial"/>
          <w:color w:val="000000"/>
        </w:rPr>
        <w:t xml:space="preserve"> -4.3%.</w:t>
      </w:r>
      <w:r w:rsidRPr="009C6347">
        <w:rPr>
          <w:rFonts w:ascii="Arial" w:hAnsi="Arial" w:cs="Arial"/>
          <w:color w:val="000000"/>
        </w:rPr>
        <w:t xml:space="preserve"> </w:t>
      </w:r>
      <w:r>
        <w:rPr>
          <w:rFonts w:ascii="Arial" w:hAnsi="Arial" w:cs="Arial"/>
          <w:color w:val="000000"/>
        </w:rPr>
        <w:t>T</w:t>
      </w:r>
      <w:r w:rsidRPr="009C6347">
        <w:rPr>
          <w:rFonts w:ascii="Arial" w:hAnsi="Arial" w:cs="Arial"/>
          <w:color w:val="000000"/>
        </w:rPr>
        <w:t xml:space="preserve">his means that, on average for the </w:t>
      </w:r>
      <w:r>
        <w:rPr>
          <w:rFonts w:ascii="Arial" w:hAnsi="Arial" w:cs="Arial"/>
          <w:color w:val="000000"/>
        </w:rPr>
        <w:t>month</w:t>
      </w:r>
      <w:r w:rsidRPr="009C6347">
        <w:rPr>
          <w:rFonts w:ascii="Arial" w:hAnsi="Arial" w:cs="Arial"/>
          <w:color w:val="000000"/>
        </w:rPr>
        <w:t xml:space="preserve">, female colleagues </w:t>
      </w:r>
      <w:r>
        <w:rPr>
          <w:rFonts w:ascii="Arial" w:hAnsi="Arial" w:cs="Arial"/>
          <w:color w:val="000000"/>
        </w:rPr>
        <w:t>were</w:t>
      </w:r>
      <w:r w:rsidRPr="009C6347">
        <w:rPr>
          <w:rFonts w:ascii="Arial" w:hAnsi="Arial" w:cs="Arial"/>
          <w:color w:val="000000"/>
        </w:rPr>
        <w:t xml:space="preserve"> paid </w:t>
      </w:r>
      <w:r>
        <w:rPr>
          <w:rFonts w:ascii="Arial" w:hAnsi="Arial" w:cs="Arial"/>
          <w:color w:val="000000"/>
        </w:rPr>
        <w:t>4.3%</w:t>
      </w:r>
      <w:r w:rsidRPr="009C6347">
        <w:rPr>
          <w:rFonts w:ascii="Arial" w:hAnsi="Arial" w:cs="Arial"/>
          <w:color w:val="000000"/>
        </w:rPr>
        <w:t xml:space="preserve"> </w:t>
      </w:r>
      <w:r>
        <w:rPr>
          <w:rFonts w:ascii="Arial" w:hAnsi="Arial" w:cs="Arial"/>
          <w:color w:val="000000"/>
        </w:rPr>
        <w:t>more</w:t>
      </w:r>
      <w:r w:rsidRPr="009C6347">
        <w:rPr>
          <w:rFonts w:ascii="Arial" w:hAnsi="Arial" w:cs="Arial"/>
          <w:color w:val="000000"/>
        </w:rPr>
        <w:t xml:space="preserve"> than male colleagues, across the whole organisation</w:t>
      </w:r>
      <w:r>
        <w:rPr>
          <w:rFonts w:ascii="Arial" w:hAnsi="Arial" w:cs="Arial"/>
          <w:color w:val="000000"/>
        </w:rPr>
        <w:t xml:space="preserve"> of 284 staff.  This is due to a higher number of females employed in more senior roles and is a reduction from last year.</w:t>
      </w:r>
    </w:p>
    <w:p w14:paraId="1C465A8C" w14:textId="77777777" w:rsidR="00B66EBE" w:rsidRPr="009C6347" w:rsidRDefault="00B66EBE" w:rsidP="00B66EBE">
      <w:pPr>
        <w:rPr>
          <w:rFonts w:ascii="Arial" w:hAnsi="Arial" w:cs="Arial"/>
          <w:b/>
          <w:bCs/>
        </w:rPr>
      </w:pPr>
      <w:r w:rsidRPr="009C6347">
        <w:rPr>
          <w:rFonts w:ascii="Arial" w:hAnsi="Arial" w:cs="Arial"/>
          <w:b/>
          <w:bCs/>
        </w:rPr>
        <w:t>Proportion of males and females in each pay quartile</w:t>
      </w:r>
      <w:r>
        <w:rPr>
          <w:rFonts w:ascii="Arial" w:hAnsi="Arial" w:cs="Arial"/>
          <w:b/>
          <w:bCs/>
        </w:rPr>
        <w:t xml:space="preserve"> April 2023 for relevant staff</w:t>
      </w:r>
    </w:p>
    <w:tbl>
      <w:tblPr>
        <w:tblW w:w="10480" w:type="dxa"/>
        <w:tblCellMar>
          <w:top w:w="15" w:type="dxa"/>
          <w:bottom w:w="15" w:type="dxa"/>
        </w:tblCellMar>
        <w:tblLook w:val="04A0" w:firstRow="1" w:lastRow="0" w:firstColumn="1" w:lastColumn="0" w:noHBand="0" w:noVBand="1"/>
      </w:tblPr>
      <w:tblGrid>
        <w:gridCol w:w="1992"/>
        <w:gridCol w:w="1004"/>
        <w:gridCol w:w="1391"/>
        <w:gridCol w:w="1849"/>
        <w:gridCol w:w="1388"/>
        <w:gridCol w:w="1852"/>
        <w:gridCol w:w="1004"/>
      </w:tblGrid>
      <w:tr w:rsidR="00B66EBE" w:rsidRPr="000B54FE" w14:paraId="2FA1B50E" w14:textId="77777777" w:rsidTr="002B3022">
        <w:trPr>
          <w:trHeight w:val="237"/>
        </w:trPr>
        <w:tc>
          <w:tcPr>
            <w:tcW w:w="1992" w:type="dxa"/>
            <w:tcBorders>
              <w:top w:val="nil"/>
              <w:left w:val="nil"/>
              <w:bottom w:val="nil"/>
              <w:right w:val="nil"/>
            </w:tcBorders>
            <w:shd w:val="clear" w:color="000000" w:fill="FFFFFF"/>
            <w:noWrap/>
            <w:vAlign w:val="bottom"/>
            <w:hideMark/>
          </w:tcPr>
          <w:p w14:paraId="520C6162" w14:textId="77777777" w:rsidR="00B66EBE" w:rsidRPr="000B54FE" w:rsidRDefault="00B66EBE" w:rsidP="002B3022">
            <w:pPr>
              <w:rPr>
                <w:rFonts w:ascii="Arial" w:hAnsi="Arial" w:cs="Arial"/>
              </w:rPr>
            </w:pPr>
          </w:p>
        </w:tc>
        <w:tc>
          <w:tcPr>
            <w:tcW w:w="1004" w:type="dxa"/>
            <w:tcBorders>
              <w:top w:val="nil"/>
              <w:left w:val="nil"/>
              <w:bottom w:val="nil"/>
              <w:right w:val="nil"/>
            </w:tcBorders>
            <w:shd w:val="clear" w:color="000000" w:fill="FFFFFF"/>
            <w:noWrap/>
            <w:vAlign w:val="bottom"/>
            <w:hideMark/>
          </w:tcPr>
          <w:p w14:paraId="4000D31B" w14:textId="77777777" w:rsidR="00B66EBE" w:rsidRPr="000B54FE" w:rsidRDefault="00B66EBE" w:rsidP="002B3022">
            <w:pPr>
              <w:rPr>
                <w:rFonts w:ascii="Arial" w:hAnsi="Arial" w:cs="Arial"/>
              </w:rPr>
            </w:pPr>
          </w:p>
        </w:tc>
        <w:tc>
          <w:tcPr>
            <w:tcW w:w="3240" w:type="dxa"/>
            <w:gridSpan w:val="2"/>
            <w:tcBorders>
              <w:top w:val="nil"/>
              <w:left w:val="nil"/>
              <w:bottom w:val="nil"/>
              <w:right w:val="nil"/>
            </w:tcBorders>
            <w:shd w:val="clear" w:color="000000" w:fill="FFFFFF"/>
            <w:vAlign w:val="bottom"/>
            <w:hideMark/>
          </w:tcPr>
          <w:p w14:paraId="7AAF78DD" w14:textId="77777777" w:rsidR="00B66EBE" w:rsidRPr="000B54FE" w:rsidRDefault="00B66EBE" w:rsidP="002B3022">
            <w:pPr>
              <w:rPr>
                <w:rFonts w:ascii="Arial" w:hAnsi="Arial" w:cs="Arial"/>
                <w:b/>
                <w:bCs/>
              </w:rPr>
            </w:pPr>
            <w:r w:rsidRPr="000B54FE">
              <w:rPr>
                <w:rFonts w:ascii="Arial" w:hAnsi="Arial" w:cs="Arial"/>
                <w:b/>
                <w:bCs/>
              </w:rPr>
              <w:t>Numbers</w:t>
            </w:r>
          </w:p>
        </w:tc>
        <w:tc>
          <w:tcPr>
            <w:tcW w:w="3240" w:type="dxa"/>
            <w:gridSpan w:val="2"/>
            <w:tcBorders>
              <w:top w:val="nil"/>
              <w:left w:val="nil"/>
              <w:bottom w:val="nil"/>
              <w:right w:val="nil"/>
            </w:tcBorders>
            <w:shd w:val="clear" w:color="000000" w:fill="FFFFFF"/>
            <w:vAlign w:val="bottom"/>
            <w:hideMark/>
          </w:tcPr>
          <w:p w14:paraId="38BCB01F" w14:textId="77777777" w:rsidR="00B66EBE" w:rsidRPr="000B54FE" w:rsidRDefault="00B66EBE" w:rsidP="002B3022">
            <w:pPr>
              <w:rPr>
                <w:rFonts w:ascii="Arial" w:hAnsi="Arial" w:cs="Arial"/>
                <w:b/>
                <w:bCs/>
              </w:rPr>
            </w:pPr>
            <w:r w:rsidRPr="000B54FE">
              <w:rPr>
                <w:rFonts w:ascii="Arial" w:hAnsi="Arial" w:cs="Arial"/>
                <w:b/>
                <w:bCs/>
              </w:rPr>
              <w:t>Percentages</w:t>
            </w:r>
          </w:p>
        </w:tc>
        <w:tc>
          <w:tcPr>
            <w:tcW w:w="1004" w:type="dxa"/>
            <w:tcBorders>
              <w:top w:val="nil"/>
              <w:left w:val="nil"/>
              <w:bottom w:val="nil"/>
              <w:right w:val="nil"/>
            </w:tcBorders>
            <w:noWrap/>
            <w:vAlign w:val="bottom"/>
            <w:hideMark/>
          </w:tcPr>
          <w:p w14:paraId="39BD563A" w14:textId="77777777" w:rsidR="00B66EBE" w:rsidRPr="000B54FE" w:rsidRDefault="00B66EBE" w:rsidP="002B3022">
            <w:pPr>
              <w:rPr>
                <w:rFonts w:ascii="Arial" w:hAnsi="Arial" w:cs="Arial"/>
              </w:rPr>
            </w:pPr>
          </w:p>
        </w:tc>
      </w:tr>
      <w:tr w:rsidR="00B66EBE" w:rsidRPr="000B54FE" w14:paraId="42C6ADE7" w14:textId="77777777" w:rsidTr="002B3022">
        <w:trPr>
          <w:trHeight w:val="237"/>
        </w:trPr>
        <w:tc>
          <w:tcPr>
            <w:tcW w:w="1992" w:type="dxa"/>
            <w:tcBorders>
              <w:top w:val="nil"/>
              <w:left w:val="nil"/>
              <w:bottom w:val="nil"/>
              <w:right w:val="nil"/>
            </w:tcBorders>
            <w:shd w:val="clear" w:color="000000" w:fill="FFFFFF"/>
            <w:noWrap/>
            <w:vAlign w:val="bottom"/>
            <w:hideMark/>
          </w:tcPr>
          <w:p w14:paraId="69ABA696" w14:textId="77777777" w:rsidR="00B66EBE" w:rsidRPr="000B54FE" w:rsidRDefault="00B66EBE" w:rsidP="002B3022">
            <w:pPr>
              <w:rPr>
                <w:rFonts w:ascii="Arial" w:hAnsi="Arial" w:cs="Arial"/>
                <w:b/>
                <w:bCs/>
              </w:rPr>
            </w:pPr>
            <w:r w:rsidRPr="000B54FE">
              <w:rPr>
                <w:rFonts w:ascii="Arial" w:hAnsi="Arial" w:cs="Arial"/>
                <w:b/>
                <w:bCs/>
              </w:rPr>
              <w:t>Quartile</w:t>
            </w:r>
          </w:p>
        </w:tc>
        <w:tc>
          <w:tcPr>
            <w:tcW w:w="1004" w:type="dxa"/>
            <w:tcBorders>
              <w:top w:val="nil"/>
              <w:left w:val="nil"/>
              <w:bottom w:val="nil"/>
              <w:right w:val="nil"/>
            </w:tcBorders>
            <w:shd w:val="clear" w:color="000000" w:fill="FFFFFF"/>
            <w:noWrap/>
            <w:vAlign w:val="bottom"/>
            <w:hideMark/>
          </w:tcPr>
          <w:p w14:paraId="7922B3C9" w14:textId="77777777" w:rsidR="00B66EBE" w:rsidRPr="000B54FE" w:rsidRDefault="00B66EBE" w:rsidP="002B3022">
            <w:pPr>
              <w:rPr>
                <w:rFonts w:ascii="Arial" w:hAnsi="Arial" w:cs="Arial"/>
              </w:rPr>
            </w:pPr>
          </w:p>
        </w:tc>
        <w:tc>
          <w:tcPr>
            <w:tcW w:w="1390" w:type="dxa"/>
            <w:tcBorders>
              <w:top w:val="nil"/>
              <w:left w:val="nil"/>
              <w:bottom w:val="single" w:sz="4" w:space="0" w:color="auto"/>
              <w:right w:val="nil"/>
            </w:tcBorders>
            <w:shd w:val="clear" w:color="000000" w:fill="FFFFFF"/>
            <w:noWrap/>
            <w:vAlign w:val="bottom"/>
            <w:hideMark/>
          </w:tcPr>
          <w:p w14:paraId="43582A6B" w14:textId="77777777" w:rsidR="00B66EBE" w:rsidRPr="000B54FE" w:rsidRDefault="00B66EBE" w:rsidP="002B3022">
            <w:pPr>
              <w:rPr>
                <w:rFonts w:ascii="Arial" w:hAnsi="Arial" w:cs="Arial"/>
              </w:rPr>
            </w:pPr>
            <w:r w:rsidRPr="000B54FE">
              <w:rPr>
                <w:rFonts w:ascii="Arial" w:hAnsi="Arial" w:cs="Arial"/>
              </w:rPr>
              <w:t>Males</w:t>
            </w:r>
          </w:p>
        </w:tc>
        <w:tc>
          <w:tcPr>
            <w:tcW w:w="1849" w:type="dxa"/>
            <w:tcBorders>
              <w:top w:val="nil"/>
              <w:left w:val="nil"/>
              <w:bottom w:val="single" w:sz="4" w:space="0" w:color="auto"/>
              <w:right w:val="nil"/>
            </w:tcBorders>
            <w:shd w:val="clear" w:color="000000" w:fill="FFFFFF"/>
            <w:noWrap/>
            <w:vAlign w:val="bottom"/>
            <w:hideMark/>
          </w:tcPr>
          <w:p w14:paraId="28602337" w14:textId="77777777" w:rsidR="00B66EBE" w:rsidRPr="000B54FE" w:rsidRDefault="00B66EBE" w:rsidP="002B3022">
            <w:pPr>
              <w:rPr>
                <w:rFonts w:ascii="Arial" w:hAnsi="Arial" w:cs="Arial"/>
              </w:rPr>
            </w:pPr>
            <w:r w:rsidRPr="000B54FE">
              <w:rPr>
                <w:rFonts w:ascii="Arial" w:hAnsi="Arial" w:cs="Arial"/>
              </w:rPr>
              <w:t>Females</w:t>
            </w:r>
          </w:p>
        </w:tc>
        <w:tc>
          <w:tcPr>
            <w:tcW w:w="1388" w:type="dxa"/>
            <w:tcBorders>
              <w:top w:val="nil"/>
              <w:left w:val="nil"/>
              <w:bottom w:val="single" w:sz="4" w:space="0" w:color="auto"/>
              <w:right w:val="nil"/>
            </w:tcBorders>
            <w:shd w:val="clear" w:color="000000" w:fill="FFFFFF"/>
            <w:noWrap/>
            <w:vAlign w:val="bottom"/>
            <w:hideMark/>
          </w:tcPr>
          <w:p w14:paraId="0B33AE61" w14:textId="77777777" w:rsidR="00B66EBE" w:rsidRPr="000B54FE" w:rsidRDefault="00B66EBE" w:rsidP="002B3022">
            <w:pPr>
              <w:rPr>
                <w:rFonts w:ascii="Arial" w:hAnsi="Arial" w:cs="Arial"/>
              </w:rPr>
            </w:pPr>
            <w:r w:rsidRPr="000B54FE">
              <w:rPr>
                <w:rFonts w:ascii="Arial" w:hAnsi="Arial" w:cs="Arial"/>
              </w:rPr>
              <w:t>Males</w:t>
            </w:r>
          </w:p>
        </w:tc>
        <w:tc>
          <w:tcPr>
            <w:tcW w:w="1851" w:type="dxa"/>
            <w:tcBorders>
              <w:top w:val="nil"/>
              <w:left w:val="nil"/>
              <w:bottom w:val="single" w:sz="4" w:space="0" w:color="auto"/>
              <w:right w:val="nil"/>
            </w:tcBorders>
            <w:shd w:val="clear" w:color="000000" w:fill="FFFFFF"/>
            <w:noWrap/>
            <w:vAlign w:val="bottom"/>
            <w:hideMark/>
          </w:tcPr>
          <w:p w14:paraId="58B577F5" w14:textId="77777777" w:rsidR="00B66EBE" w:rsidRPr="000B54FE" w:rsidRDefault="00B66EBE" w:rsidP="002B3022">
            <w:pPr>
              <w:rPr>
                <w:rFonts w:ascii="Arial" w:hAnsi="Arial" w:cs="Arial"/>
              </w:rPr>
            </w:pPr>
            <w:r w:rsidRPr="000B54FE">
              <w:rPr>
                <w:rFonts w:ascii="Arial" w:hAnsi="Arial" w:cs="Arial"/>
              </w:rPr>
              <w:t>Females</w:t>
            </w:r>
          </w:p>
        </w:tc>
        <w:tc>
          <w:tcPr>
            <w:tcW w:w="1004" w:type="dxa"/>
            <w:tcBorders>
              <w:top w:val="nil"/>
              <w:left w:val="nil"/>
              <w:bottom w:val="nil"/>
              <w:right w:val="nil"/>
            </w:tcBorders>
            <w:noWrap/>
            <w:vAlign w:val="bottom"/>
            <w:hideMark/>
          </w:tcPr>
          <w:p w14:paraId="44C7DF19" w14:textId="77777777" w:rsidR="00B66EBE" w:rsidRPr="000B54FE" w:rsidRDefault="00B66EBE" w:rsidP="002B3022">
            <w:pPr>
              <w:rPr>
                <w:rFonts w:ascii="Arial" w:hAnsi="Arial" w:cs="Arial"/>
              </w:rPr>
            </w:pPr>
          </w:p>
        </w:tc>
      </w:tr>
      <w:tr w:rsidR="00B66EBE" w:rsidRPr="000B54FE" w14:paraId="23F1B388" w14:textId="77777777" w:rsidTr="002B3022">
        <w:trPr>
          <w:trHeight w:val="237"/>
        </w:trPr>
        <w:tc>
          <w:tcPr>
            <w:tcW w:w="1992" w:type="dxa"/>
            <w:tcBorders>
              <w:top w:val="nil"/>
              <w:left w:val="nil"/>
              <w:bottom w:val="nil"/>
              <w:right w:val="nil"/>
            </w:tcBorders>
            <w:shd w:val="clear" w:color="000000" w:fill="FFFFFF"/>
            <w:noWrap/>
            <w:vAlign w:val="bottom"/>
            <w:hideMark/>
          </w:tcPr>
          <w:p w14:paraId="5B0A5F5E" w14:textId="77777777" w:rsidR="00B66EBE" w:rsidRPr="000B54FE" w:rsidRDefault="00B66EBE" w:rsidP="002B3022">
            <w:pPr>
              <w:rPr>
                <w:rFonts w:ascii="Arial" w:hAnsi="Arial" w:cs="Arial"/>
              </w:rPr>
            </w:pPr>
            <w:r w:rsidRPr="000B54FE">
              <w:rPr>
                <w:rFonts w:ascii="Arial" w:hAnsi="Arial" w:cs="Arial"/>
              </w:rPr>
              <w:t xml:space="preserve">Lower </w:t>
            </w:r>
          </w:p>
        </w:tc>
        <w:tc>
          <w:tcPr>
            <w:tcW w:w="1004" w:type="dxa"/>
            <w:tcBorders>
              <w:top w:val="nil"/>
              <w:left w:val="nil"/>
              <w:bottom w:val="nil"/>
              <w:right w:val="nil"/>
            </w:tcBorders>
            <w:shd w:val="clear" w:color="000000" w:fill="FFFFFF"/>
            <w:noWrap/>
            <w:vAlign w:val="bottom"/>
            <w:hideMark/>
          </w:tcPr>
          <w:p w14:paraId="37F97AEE" w14:textId="77777777" w:rsidR="00B66EBE" w:rsidRPr="000B54FE" w:rsidRDefault="00B66EBE" w:rsidP="002B3022">
            <w:pPr>
              <w:rPr>
                <w:rFonts w:ascii="Arial" w:hAnsi="Arial" w:cs="Arial"/>
              </w:rPr>
            </w:pPr>
          </w:p>
        </w:tc>
        <w:tc>
          <w:tcPr>
            <w:tcW w:w="1390" w:type="dxa"/>
            <w:tcBorders>
              <w:top w:val="nil"/>
              <w:left w:val="nil"/>
              <w:bottom w:val="nil"/>
              <w:right w:val="nil"/>
            </w:tcBorders>
            <w:shd w:val="clear" w:color="000000" w:fill="FFFFFF"/>
            <w:noWrap/>
            <w:vAlign w:val="bottom"/>
            <w:hideMark/>
          </w:tcPr>
          <w:p w14:paraId="78EDD7DF" w14:textId="77777777" w:rsidR="00B66EBE" w:rsidRPr="000B54FE" w:rsidRDefault="00B66EBE" w:rsidP="002B3022">
            <w:pPr>
              <w:rPr>
                <w:rFonts w:ascii="Arial" w:hAnsi="Arial" w:cs="Arial"/>
              </w:rPr>
            </w:pPr>
            <w:r w:rsidRPr="000B54FE">
              <w:rPr>
                <w:rFonts w:ascii="Arial" w:hAnsi="Arial" w:cs="Arial"/>
              </w:rPr>
              <w:t>2</w:t>
            </w:r>
            <w:r>
              <w:rPr>
                <w:rFonts w:ascii="Arial" w:hAnsi="Arial" w:cs="Arial"/>
              </w:rPr>
              <w:t>9</w:t>
            </w:r>
          </w:p>
        </w:tc>
        <w:tc>
          <w:tcPr>
            <w:tcW w:w="1849" w:type="dxa"/>
            <w:tcBorders>
              <w:top w:val="nil"/>
              <w:left w:val="nil"/>
              <w:bottom w:val="nil"/>
              <w:right w:val="nil"/>
            </w:tcBorders>
            <w:shd w:val="clear" w:color="000000" w:fill="FFFFFF"/>
            <w:noWrap/>
            <w:vAlign w:val="bottom"/>
            <w:hideMark/>
          </w:tcPr>
          <w:p w14:paraId="577F76ED" w14:textId="77777777" w:rsidR="00B66EBE" w:rsidRPr="000B54FE" w:rsidRDefault="00B66EBE" w:rsidP="002B3022">
            <w:pPr>
              <w:rPr>
                <w:rFonts w:ascii="Arial" w:hAnsi="Arial" w:cs="Arial"/>
              </w:rPr>
            </w:pPr>
            <w:r w:rsidRPr="000B54FE">
              <w:rPr>
                <w:rFonts w:ascii="Arial" w:hAnsi="Arial" w:cs="Arial"/>
              </w:rPr>
              <w:t>42</w:t>
            </w:r>
          </w:p>
        </w:tc>
        <w:tc>
          <w:tcPr>
            <w:tcW w:w="1388" w:type="dxa"/>
            <w:tcBorders>
              <w:top w:val="nil"/>
              <w:left w:val="nil"/>
              <w:bottom w:val="nil"/>
              <w:right w:val="nil"/>
            </w:tcBorders>
            <w:shd w:val="clear" w:color="000000" w:fill="FFFFFF"/>
            <w:noWrap/>
            <w:vAlign w:val="bottom"/>
            <w:hideMark/>
          </w:tcPr>
          <w:p w14:paraId="5002581C" w14:textId="77777777" w:rsidR="00B66EBE" w:rsidRPr="000B54FE" w:rsidRDefault="00B66EBE" w:rsidP="002B3022">
            <w:pPr>
              <w:rPr>
                <w:rFonts w:ascii="Arial" w:hAnsi="Arial" w:cs="Arial"/>
              </w:rPr>
            </w:pPr>
            <w:r w:rsidRPr="000B54FE">
              <w:rPr>
                <w:rFonts w:ascii="Arial" w:hAnsi="Arial" w:cs="Arial"/>
              </w:rPr>
              <w:t>4</w:t>
            </w:r>
            <w:r>
              <w:rPr>
                <w:rFonts w:ascii="Arial" w:hAnsi="Arial" w:cs="Arial"/>
              </w:rPr>
              <w:t>1</w:t>
            </w:r>
            <w:r w:rsidRPr="000B54FE">
              <w:rPr>
                <w:rFonts w:ascii="Arial" w:hAnsi="Arial" w:cs="Arial"/>
              </w:rPr>
              <w:t>%</w:t>
            </w:r>
          </w:p>
        </w:tc>
        <w:tc>
          <w:tcPr>
            <w:tcW w:w="1851" w:type="dxa"/>
            <w:tcBorders>
              <w:top w:val="nil"/>
              <w:left w:val="nil"/>
              <w:bottom w:val="nil"/>
              <w:right w:val="nil"/>
            </w:tcBorders>
            <w:shd w:val="clear" w:color="000000" w:fill="FFFFFF"/>
            <w:noWrap/>
            <w:vAlign w:val="bottom"/>
            <w:hideMark/>
          </w:tcPr>
          <w:p w14:paraId="04FB073D" w14:textId="77777777" w:rsidR="00B66EBE" w:rsidRPr="000B54FE" w:rsidRDefault="00B66EBE" w:rsidP="002B3022">
            <w:pPr>
              <w:rPr>
                <w:rFonts w:ascii="Arial" w:hAnsi="Arial" w:cs="Arial"/>
              </w:rPr>
            </w:pPr>
            <w:r>
              <w:rPr>
                <w:rFonts w:ascii="Arial" w:hAnsi="Arial" w:cs="Arial"/>
              </w:rPr>
              <w:t>59</w:t>
            </w:r>
            <w:r w:rsidRPr="000B54FE">
              <w:rPr>
                <w:rFonts w:ascii="Arial" w:hAnsi="Arial" w:cs="Arial"/>
              </w:rPr>
              <w:t>%</w:t>
            </w:r>
          </w:p>
        </w:tc>
        <w:tc>
          <w:tcPr>
            <w:tcW w:w="1004" w:type="dxa"/>
            <w:tcBorders>
              <w:top w:val="nil"/>
              <w:left w:val="nil"/>
              <w:bottom w:val="nil"/>
              <w:right w:val="nil"/>
            </w:tcBorders>
            <w:noWrap/>
            <w:vAlign w:val="bottom"/>
            <w:hideMark/>
          </w:tcPr>
          <w:p w14:paraId="2D515334" w14:textId="77777777" w:rsidR="00B66EBE" w:rsidRPr="000B54FE" w:rsidRDefault="00B66EBE" w:rsidP="002B3022">
            <w:pPr>
              <w:rPr>
                <w:rFonts w:ascii="Arial" w:hAnsi="Arial" w:cs="Arial"/>
              </w:rPr>
            </w:pPr>
          </w:p>
        </w:tc>
      </w:tr>
      <w:tr w:rsidR="00B66EBE" w:rsidRPr="000B54FE" w14:paraId="48CEBC55" w14:textId="77777777" w:rsidTr="002B3022">
        <w:trPr>
          <w:trHeight w:val="237"/>
        </w:trPr>
        <w:tc>
          <w:tcPr>
            <w:tcW w:w="1992" w:type="dxa"/>
            <w:tcBorders>
              <w:top w:val="nil"/>
              <w:left w:val="nil"/>
              <w:bottom w:val="nil"/>
              <w:right w:val="nil"/>
            </w:tcBorders>
            <w:shd w:val="clear" w:color="000000" w:fill="FFFFFF"/>
            <w:noWrap/>
            <w:vAlign w:val="bottom"/>
            <w:hideMark/>
          </w:tcPr>
          <w:p w14:paraId="0A812062" w14:textId="77777777" w:rsidR="00B66EBE" w:rsidRPr="000B54FE" w:rsidRDefault="00B66EBE" w:rsidP="002B3022">
            <w:pPr>
              <w:rPr>
                <w:rFonts w:ascii="Arial" w:hAnsi="Arial" w:cs="Arial"/>
              </w:rPr>
            </w:pPr>
            <w:r w:rsidRPr="000B54FE">
              <w:rPr>
                <w:rFonts w:ascii="Arial" w:hAnsi="Arial" w:cs="Arial"/>
              </w:rPr>
              <w:t>Lower Middle</w:t>
            </w:r>
          </w:p>
        </w:tc>
        <w:tc>
          <w:tcPr>
            <w:tcW w:w="1004" w:type="dxa"/>
            <w:tcBorders>
              <w:top w:val="nil"/>
              <w:left w:val="nil"/>
              <w:bottom w:val="nil"/>
              <w:right w:val="nil"/>
            </w:tcBorders>
            <w:shd w:val="clear" w:color="000000" w:fill="FFFFFF"/>
            <w:noWrap/>
            <w:vAlign w:val="bottom"/>
            <w:hideMark/>
          </w:tcPr>
          <w:p w14:paraId="16C3F704" w14:textId="77777777" w:rsidR="00B66EBE" w:rsidRPr="000B54FE" w:rsidRDefault="00B66EBE" w:rsidP="002B3022">
            <w:pPr>
              <w:rPr>
                <w:rFonts w:ascii="Arial" w:hAnsi="Arial" w:cs="Arial"/>
              </w:rPr>
            </w:pPr>
          </w:p>
        </w:tc>
        <w:tc>
          <w:tcPr>
            <w:tcW w:w="1390" w:type="dxa"/>
            <w:tcBorders>
              <w:top w:val="nil"/>
              <w:left w:val="nil"/>
              <w:bottom w:val="nil"/>
              <w:right w:val="nil"/>
            </w:tcBorders>
            <w:shd w:val="clear" w:color="000000" w:fill="FFFFFF"/>
            <w:noWrap/>
            <w:vAlign w:val="bottom"/>
            <w:hideMark/>
          </w:tcPr>
          <w:p w14:paraId="76E81CC2" w14:textId="77777777" w:rsidR="00B66EBE" w:rsidRPr="000B54FE" w:rsidRDefault="00B66EBE" w:rsidP="002B3022">
            <w:pPr>
              <w:rPr>
                <w:rFonts w:ascii="Arial" w:hAnsi="Arial" w:cs="Arial"/>
              </w:rPr>
            </w:pPr>
            <w:r w:rsidRPr="000B54FE">
              <w:rPr>
                <w:rFonts w:ascii="Arial" w:hAnsi="Arial" w:cs="Arial"/>
              </w:rPr>
              <w:t>2</w:t>
            </w:r>
            <w:r>
              <w:rPr>
                <w:rFonts w:ascii="Arial" w:hAnsi="Arial" w:cs="Arial"/>
              </w:rPr>
              <w:t>9</w:t>
            </w:r>
          </w:p>
        </w:tc>
        <w:tc>
          <w:tcPr>
            <w:tcW w:w="1849" w:type="dxa"/>
            <w:tcBorders>
              <w:top w:val="nil"/>
              <w:left w:val="nil"/>
              <w:bottom w:val="nil"/>
              <w:right w:val="nil"/>
            </w:tcBorders>
            <w:shd w:val="clear" w:color="000000" w:fill="FFFFFF"/>
            <w:noWrap/>
            <w:vAlign w:val="bottom"/>
            <w:hideMark/>
          </w:tcPr>
          <w:p w14:paraId="41A4232E" w14:textId="77777777" w:rsidR="00B66EBE" w:rsidRPr="000B54FE" w:rsidRDefault="00B66EBE" w:rsidP="002B3022">
            <w:pPr>
              <w:rPr>
                <w:rFonts w:ascii="Arial" w:hAnsi="Arial" w:cs="Arial"/>
              </w:rPr>
            </w:pPr>
            <w:r w:rsidRPr="000B54FE">
              <w:rPr>
                <w:rFonts w:ascii="Arial" w:hAnsi="Arial" w:cs="Arial"/>
              </w:rPr>
              <w:t>42</w:t>
            </w:r>
          </w:p>
        </w:tc>
        <w:tc>
          <w:tcPr>
            <w:tcW w:w="1388" w:type="dxa"/>
            <w:tcBorders>
              <w:top w:val="nil"/>
              <w:left w:val="nil"/>
              <w:bottom w:val="nil"/>
              <w:right w:val="nil"/>
            </w:tcBorders>
            <w:shd w:val="clear" w:color="000000" w:fill="FFFFFF"/>
            <w:noWrap/>
            <w:vAlign w:val="bottom"/>
            <w:hideMark/>
          </w:tcPr>
          <w:p w14:paraId="50E67A58" w14:textId="77777777" w:rsidR="00B66EBE" w:rsidRPr="000B54FE" w:rsidRDefault="00B66EBE" w:rsidP="002B3022">
            <w:pPr>
              <w:rPr>
                <w:rFonts w:ascii="Arial" w:hAnsi="Arial" w:cs="Arial"/>
              </w:rPr>
            </w:pPr>
            <w:r>
              <w:rPr>
                <w:rFonts w:ascii="Arial" w:hAnsi="Arial" w:cs="Arial"/>
              </w:rPr>
              <w:t>41</w:t>
            </w:r>
            <w:r w:rsidRPr="000B54FE">
              <w:rPr>
                <w:rFonts w:ascii="Arial" w:hAnsi="Arial" w:cs="Arial"/>
              </w:rPr>
              <w:t>%</w:t>
            </w:r>
          </w:p>
        </w:tc>
        <w:tc>
          <w:tcPr>
            <w:tcW w:w="1851" w:type="dxa"/>
            <w:tcBorders>
              <w:top w:val="nil"/>
              <w:left w:val="nil"/>
              <w:bottom w:val="nil"/>
              <w:right w:val="nil"/>
            </w:tcBorders>
            <w:shd w:val="clear" w:color="000000" w:fill="FFFFFF"/>
            <w:noWrap/>
            <w:vAlign w:val="bottom"/>
            <w:hideMark/>
          </w:tcPr>
          <w:p w14:paraId="34F06B9E" w14:textId="77777777" w:rsidR="00B66EBE" w:rsidRPr="000B54FE" w:rsidRDefault="00B66EBE" w:rsidP="002B3022">
            <w:pPr>
              <w:rPr>
                <w:rFonts w:ascii="Arial" w:hAnsi="Arial" w:cs="Arial"/>
              </w:rPr>
            </w:pPr>
            <w:r>
              <w:rPr>
                <w:rFonts w:ascii="Arial" w:hAnsi="Arial" w:cs="Arial"/>
              </w:rPr>
              <w:t>59</w:t>
            </w:r>
            <w:r w:rsidRPr="000B54FE">
              <w:rPr>
                <w:rFonts w:ascii="Arial" w:hAnsi="Arial" w:cs="Arial"/>
              </w:rPr>
              <w:t>%</w:t>
            </w:r>
          </w:p>
        </w:tc>
        <w:tc>
          <w:tcPr>
            <w:tcW w:w="1004" w:type="dxa"/>
            <w:tcBorders>
              <w:top w:val="nil"/>
              <w:left w:val="nil"/>
              <w:bottom w:val="nil"/>
              <w:right w:val="nil"/>
            </w:tcBorders>
            <w:noWrap/>
            <w:vAlign w:val="bottom"/>
            <w:hideMark/>
          </w:tcPr>
          <w:p w14:paraId="065D6A96" w14:textId="77777777" w:rsidR="00B66EBE" w:rsidRPr="000B54FE" w:rsidRDefault="00B66EBE" w:rsidP="002B3022">
            <w:pPr>
              <w:rPr>
                <w:rFonts w:ascii="Arial" w:hAnsi="Arial" w:cs="Arial"/>
              </w:rPr>
            </w:pPr>
          </w:p>
        </w:tc>
      </w:tr>
      <w:tr w:rsidR="00B66EBE" w:rsidRPr="000B54FE" w14:paraId="0598CC0A" w14:textId="77777777" w:rsidTr="002B3022">
        <w:trPr>
          <w:trHeight w:val="237"/>
        </w:trPr>
        <w:tc>
          <w:tcPr>
            <w:tcW w:w="1992" w:type="dxa"/>
            <w:tcBorders>
              <w:top w:val="nil"/>
              <w:left w:val="nil"/>
              <w:bottom w:val="nil"/>
              <w:right w:val="nil"/>
            </w:tcBorders>
            <w:shd w:val="clear" w:color="000000" w:fill="FFFFFF"/>
            <w:noWrap/>
            <w:vAlign w:val="bottom"/>
            <w:hideMark/>
          </w:tcPr>
          <w:p w14:paraId="3E1BD96D" w14:textId="77777777" w:rsidR="00B66EBE" w:rsidRPr="000B54FE" w:rsidRDefault="00B66EBE" w:rsidP="002B3022">
            <w:pPr>
              <w:rPr>
                <w:rFonts w:ascii="Arial" w:hAnsi="Arial" w:cs="Arial"/>
              </w:rPr>
            </w:pPr>
            <w:r w:rsidRPr="000B54FE">
              <w:rPr>
                <w:rFonts w:ascii="Arial" w:hAnsi="Arial" w:cs="Arial"/>
              </w:rPr>
              <w:t>Upper Middle</w:t>
            </w:r>
          </w:p>
        </w:tc>
        <w:tc>
          <w:tcPr>
            <w:tcW w:w="1004" w:type="dxa"/>
            <w:tcBorders>
              <w:top w:val="nil"/>
              <w:left w:val="nil"/>
              <w:bottom w:val="nil"/>
              <w:right w:val="nil"/>
            </w:tcBorders>
            <w:shd w:val="clear" w:color="000000" w:fill="FFFFFF"/>
            <w:noWrap/>
            <w:vAlign w:val="bottom"/>
            <w:hideMark/>
          </w:tcPr>
          <w:p w14:paraId="4D710E8D" w14:textId="77777777" w:rsidR="00B66EBE" w:rsidRPr="000B54FE" w:rsidRDefault="00B66EBE" w:rsidP="002B3022">
            <w:pPr>
              <w:rPr>
                <w:rFonts w:ascii="Arial" w:hAnsi="Arial" w:cs="Arial"/>
              </w:rPr>
            </w:pPr>
          </w:p>
        </w:tc>
        <w:tc>
          <w:tcPr>
            <w:tcW w:w="1390" w:type="dxa"/>
            <w:tcBorders>
              <w:top w:val="nil"/>
              <w:left w:val="nil"/>
              <w:bottom w:val="nil"/>
              <w:right w:val="nil"/>
            </w:tcBorders>
            <w:shd w:val="clear" w:color="000000" w:fill="FFFFFF"/>
            <w:noWrap/>
            <w:vAlign w:val="bottom"/>
            <w:hideMark/>
          </w:tcPr>
          <w:p w14:paraId="05481CE7" w14:textId="77777777" w:rsidR="00B66EBE" w:rsidRPr="000B54FE" w:rsidRDefault="00B66EBE" w:rsidP="002B3022">
            <w:pPr>
              <w:rPr>
                <w:rFonts w:ascii="Arial" w:hAnsi="Arial" w:cs="Arial"/>
              </w:rPr>
            </w:pPr>
            <w:r w:rsidRPr="000B54FE">
              <w:rPr>
                <w:rFonts w:ascii="Arial" w:hAnsi="Arial" w:cs="Arial"/>
              </w:rPr>
              <w:t>2</w:t>
            </w:r>
            <w:r>
              <w:rPr>
                <w:rFonts w:ascii="Arial" w:hAnsi="Arial" w:cs="Arial"/>
              </w:rPr>
              <w:t>9</w:t>
            </w:r>
          </w:p>
        </w:tc>
        <w:tc>
          <w:tcPr>
            <w:tcW w:w="1849" w:type="dxa"/>
            <w:tcBorders>
              <w:top w:val="nil"/>
              <w:left w:val="nil"/>
              <w:bottom w:val="nil"/>
              <w:right w:val="nil"/>
            </w:tcBorders>
            <w:shd w:val="clear" w:color="000000" w:fill="FFFFFF"/>
            <w:noWrap/>
            <w:vAlign w:val="bottom"/>
            <w:hideMark/>
          </w:tcPr>
          <w:p w14:paraId="3A89900D" w14:textId="77777777" w:rsidR="00B66EBE" w:rsidRPr="000B54FE" w:rsidRDefault="00B66EBE" w:rsidP="002B3022">
            <w:pPr>
              <w:rPr>
                <w:rFonts w:ascii="Arial" w:hAnsi="Arial" w:cs="Arial"/>
              </w:rPr>
            </w:pPr>
            <w:r w:rsidRPr="000B54FE">
              <w:rPr>
                <w:rFonts w:ascii="Arial" w:hAnsi="Arial" w:cs="Arial"/>
              </w:rPr>
              <w:t>4</w:t>
            </w:r>
            <w:r>
              <w:rPr>
                <w:rFonts w:ascii="Arial" w:hAnsi="Arial" w:cs="Arial"/>
              </w:rPr>
              <w:t>2</w:t>
            </w:r>
          </w:p>
        </w:tc>
        <w:tc>
          <w:tcPr>
            <w:tcW w:w="1388" w:type="dxa"/>
            <w:tcBorders>
              <w:top w:val="nil"/>
              <w:left w:val="nil"/>
              <w:bottom w:val="nil"/>
              <w:right w:val="nil"/>
            </w:tcBorders>
            <w:shd w:val="clear" w:color="000000" w:fill="FFFFFF"/>
            <w:noWrap/>
            <w:vAlign w:val="bottom"/>
            <w:hideMark/>
          </w:tcPr>
          <w:p w14:paraId="4A681D29" w14:textId="77777777" w:rsidR="00B66EBE" w:rsidRPr="000B54FE" w:rsidRDefault="00B66EBE" w:rsidP="002B3022">
            <w:pPr>
              <w:rPr>
                <w:rFonts w:ascii="Arial" w:hAnsi="Arial" w:cs="Arial"/>
              </w:rPr>
            </w:pPr>
            <w:r>
              <w:rPr>
                <w:rFonts w:ascii="Arial" w:hAnsi="Arial" w:cs="Arial"/>
              </w:rPr>
              <w:t>41</w:t>
            </w:r>
            <w:r w:rsidRPr="000B54FE">
              <w:rPr>
                <w:rFonts w:ascii="Arial" w:hAnsi="Arial" w:cs="Arial"/>
              </w:rPr>
              <w:t>%</w:t>
            </w:r>
          </w:p>
        </w:tc>
        <w:tc>
          <w:tcPr>
            <w:tcW w:w="1851" w:type="dxa"/>
            <w:tcBorders>
              <w:top w:val="nil"/>
              <w:left w:val="nil"/>
              <w:bottom w:val="nil"/>
              <w:right w:val="nil"/>
            </w:tcBorders>
            <w:shd w:val="clear" w:color="000000" w:fill="FFFFFF"/>
            <w:noWrap/>
            <w:vAlign w:val="bottom"/>
            <w:hideMark/>
          </w:tcPr>
          <w:p w14:paraId="173390F4" w14:textId="77777777" w:rsidR="00B66EBE" w:rsidRPr="000B54FE" w:rsidRDefault="00B66EBE" w:rsidP="002B3022">
            <w:pPr>
              <w:rPr>
                <w:rFonts w:ascii="Arial" w:hAnsi="Arial" w:cs="Arial"/>
              </w:rPr>
            </w:pPr>
            <w:r>
              <w:rPr>
                <w:rFonts w:ascii="Arial" w:hAnsi="Arial" w:cs="Arial"/>
              </w:rPr>
              <w:t>59</w:t>
            </w:r>
            <w:r w:rsidRPr="000B54FE">
              <w:rPr>
                <w:rFonts w:ascii="Arial" w:hAnsi="Arial" w:cs="Arial"/>
              </w:rPr>
              <w:t>%</w:t>
            </w:r>
          </w:p>
        </w:tc>
        <w:tc>
          <w:tcPr>
            <w:tcW w:w="1004" w:type="dxa"/>
            <w:tcBorders>
              <w:top w:val="nil"/>
              <w:left w:val="nil"/>
              <w:bottom w:val="nil"/>
              <w:right w:val="nil"/>
            </w:tcBorders>
            <w:noWrap/>
            <w:vAlign w:val="bottom"/>
            <w:hideMark/>
          </w:tcPr>
          <w:p w14:paraId="304C9910" w14:textId="77777777" w:rsidR="00B66EBE" w:rsidRPr="000B54FE" w:rsidRDefault="00B66EBE" w:rsidP="002B3022">
            <w:pPr>
              <w:rPr>
                <w:rFonts w:ascii="Arial" w:hAnsi="Arial" w:cs="Arial"/>
              </w:rPr>
            </w:pPr>
          </w:p>
        </w:tc>
      </w:tr>
      <w:tr w:rsidR="00B66EBE" w:rsidRPr="000B54FE" w14:paraId="25D65646" w14:textId="77777777" w:rsidTr="002B3022">
        <w:trPr>
          <w:trHeight w:val="237"/>
        </w:trPr>
        <w:tc>
          <w:tcPr>
            <w:tcW w:w="1992" w:type="dxa"/>
            <w:tcBorders>
              <w:top w:val="nil"/>
              <w:left w:val="nil"/>
              <w:bottom w:val="nil"/>
              <w:right w:val="nil"/>
            </w:tcBorders>
            <w:shd w:val="clear" w:color="000000" w:fill="FFFFFF"/>
            <w:noWrap/>
            <w:vAlign w:val="bottom"/>
            <w:hideMark/>
          </w:tcPr>
          <w:p w14:paraId="51D84B36" w14:textId="77777777" w:rsidR="00B66EBE" w:rsidRPr="000B54FE" w:rsidRDefault="00B66EBE" w:rsidP="002B3022">
            <w:pPr>
              <w:rPr>
                <w:rFonts w:ascii="Arial" w:hAnsi="Arial" w:cs="Arial"/>
              </w:rPr>
            </w:pPr>
            <w:r w:rsidRPr="000B54FE">
              <w:rPr>
                <w:rFonts w:ascii="Arial" w:hAnsi="Arial" w:cs="Arial"/>
              </w:rPr>
              <w:t xml:space="preserve">Upper </w:t>
            </w:r>
          </w:p>
        </w:tc>
        <w:tc>
          <w:tcPr>
            <w:tcW w:w="1004" w:type="dxa"/>
            <w:tcBorders>
              <w:top w:val="nil"/>
              <w:left w:val="nil"/>
              <w:bottom w:val="nil"/>
              <w:right w:val="nil"/>
            </w:tcBorders>
            <w:shd w:val="clear" w:color="000000" w:fill="FFFFFF"/>
            <w:noWrap/>
            <w:vAlign w:val="bottom"/>
            <w:hideMark/>
          </w:tcPr>
          <w:p w14:paraId="71CA3D91" w14:textId="77777777" w:rsidR="00B66EBE" w:rsidRPr="000B54FE" w:rsidRDefault="00B66EBE" w:rsidP="002B3022">
            <w:pPr>
              <w:rPr>
                <w:rFonts w:ascii="Arial" w:hAnsi="Arial" w:cs="Arial"/>
              </w:rPr>
            </w:pPr>
          </w:p>
        </w:tc>
        <w:tc>
          <w:tcPr>
            <w:tcW w:w="1390" w:type="dxa"/>
            <w:tcBorders>
              <w:top w:val="nil"/>
              <w:left w:val="nil"/>
              <w:bottom w:val="single" w:sz="4" w:space="0" w:color="auto"/>
              <w:right w:val="nil"/>
            </w:tcBorders>
            <w:shd w:val="clear" w:color="000000" w:fill="FFFFFF"/>
            <w:noWrap/>
            <w:vAlign w:val="bottom"/>
            <w:hideMark/>
          </w:tcPr>
          <w:p w14:paraId="76A8D38A" w14:textId="77777777" w:rsidR="00B66EBE" w:rsidRPr="000B54FE" w:rsidRDefault="00B66EBE" w:rsidP="002B3022">
            <w:pPr>
              <w:rPr>
                <w:rFonts w:ascii="Arial" w:hAnsi="Arial" w:cs="Arial"/>
              </w:rPr>
            </w:pPr>
            <w:r w:rsidRPr="000B54FE">
              <w:rPr>
                <w:rFonts w:ascii="Arial" w:hAnsi="Arial" w:cs="Arial"/>
              </w:rPr>
              <w:t>2</w:t>
            </w:r>
            <w:r>
              <w:rPr>
                <w:rFonts w:ascii="Arial" w:hAnsi="Arial" w:cs="Arial"/>
              </w:rPr>
              <w:t>9</w:t>
            </w:r>
          </w:p>
        </w:tc>
        <w:tc>
          <w:tcPr>
            <w:tcW w:w="1849" w:type="dxa"/>
            <w:tcBorders>
              <w:top w:val="nil"/>
              <w:left w:val="nil"/>
              <w:bottom w:val="single" w:sz="4" w:space="0" w:color="auto"/>
              <w:right w:val="nil"/>
            </w:tcBorders>
            <w:shd w:val="clear" w:color="000000" w:fill="FFFFFF"/>
            <w:noWrap/>
            <w:vAlign w:val="bottom"/>
            <w:hideMark/>
          </w:tcPr>
          <w:p w14:paraId="45C85CAE" w14:textId="77777777" w:rsidR="00B66EBE" w:rsidRPr="000B54FE" w:rsidRDefault="00B66EBE" w:rsidP="002B3022">
            <w:pPr>
              <w:rPr>
                <w:rFonts w:ascii="Arial" w:hAnsi="Arial" w:cs="Arial"/>
              </w:rPr>
            </w:pPr>
            <w:r w:rsidRPr="000B54FE">
              <w:rPr>
                <w:rFonts w:ascii="Arial" w:hAnsi="Arial" w:cs="Arial"/>
              </w:rPr>
              <w:t>42</w:t>
            </w:r>
          </w:p>
        </w:tc>
        <w:tc>
          <w:tcPr>
            <w:tcW w:w="1388" w:type="dxa"/>
            <w:tcBorders>
              <w:top w:val="nil"/>
              <w:left w:val="nil"/>
              <w:bottom w:val="nil"/>
              <w:right w:val="nil"/>
            </w:tcBorders>
            <w:shd w:val="clear" w:color="000000" w:fill="FFFFFF"/>
            <w:noWrap/>
            <w:vAlign w:val="bottom"/>
            <w:hideMark/>
          </w:tcPr>
          <w:p w14:paraId="32984951" w14:textId="77777777" w:rsidR="00B66EBE" w:rsidRPr="000B54FE" w:rsidRDefault="00B66EBE" w:rsidP="002B3022">
            <w:pPr>
              <w:rPr>
                <w:rFonts w:ascii="Arial" w:hAnsi="Arial" w:cs="Arial"/>
              </w:rPr>
            </w:pPr>
            <w:r>
              <w:rPr>
                <w:rFonts w:ascii="Arial" w:hAnsi="Arial" w:cs="Arial"/>
              </w:rPr>
              <w:t>41</w:t>
            </w:r>
            <w:r w:rsidRPr="000B54FE">
              <w:rPr>
                <w:rFonts w:ascii="Arial" w:hAnsi="Arial" w:cs="Arial"/>
              </w:rPr>
              <w:t>%</w:t>
            </w:r>
          </w:p>
        </w:tc>
        <w:tc>
          <w:tcPr>
            <w:tcW w:w="1851" w:type="dxa"/>
            <w:tcBorders>
              <w:top w:val="nil"/>
              <w:left w:val="nil"/>
              <w:bottom w:val="nil"/>
              <w:right w:val="nil"/>
            </w:tcBorders>
            <w:shd w:val="clear" w:color="000000" w:fill="FFFFFF"/>
            <w:noWrap/>
            <w:vAlign w:val="bottom"/>
            <w:hideMark/>
          </w:tcPr>
          <w:p w14:paraId="1741748E" w14:textId="77777777" w:rsidR="00B66EBE" w:rsidRPr="000B54FE" w:rsidRDefault="00B66EBE" w:rsidP="002B3022">
            <w:pPr>
              <w:rPr>
                <w:rFonts w:ascii="Arial" w:hAnsi="Arial" w:cs="Arial"/>
              </w:rPr>
            </w:pPr>
            <w:r>
              <w:rPr>
                <w:rFonts w:ascii="Arial" w:hAnsi="Arial" w:cs="Arial"/>
              </w:rPr>
              <w:t>59</w:t>
            </w:r>
            <w:r w:rsidRPr="000B54FE">
              <w:rPr>
                <w:rFonts w:ascii="Arial" w:hAnsi="Arial" w:cs="Arial"/>
              </w:rPr>
              <w:t>%</w:t>
            </w:r>
          </w:p>
        </w:tc>
        <w:tc>
          <w:tcPr>
            <w:tcW w:w="1004" w:type="dxa"/>
            <w:tcBorders>
              <w:top w:val="nil"/>
              <w:left w:val="nil"/>
              <w:bottom w:val="nil"/>
              <w:right w:val="nil"/>
            </w:tcBorders>
            <w:noWrap/>
            <w:vAlign w:val="bottom"/>
            <w:hideMark/>
          </w:tcPr>
          <w:p w14:paraId="4521340B" w14:textId="77777777" w:rsidR="00B66EBE" w:rsidRPr="000B54FE" w:rsidRDefault="00B66EBE" w:rsidP="002B3022">
            <w:pPr>
              <w:rPr>
                <w:rFonts w:ascii="Arial" w:hAnsi="Arial" w:cs="Arial"/>
              </w:rPr>
            </w:pPr>
          </w:p>
        </w:tc>
      </w:tr>
      <w:tr w:rsidR="00B66EBE" w:rsidRPr="000B54FE" w14:paraId="03D3A4AF" w14:textId="77777777" w:rsidTr="002B3022">
        <w:trPr>
          <w:trHeight w:val="237"/>
        </w:trPr>
        <w:tc>
          <w:tcPr>
            <w:tcW w:w="1992" w:type="dxa"/>
            <w:tcBorders>
              <w:top w:val="nil"/>
              <w:left w:val="nil"/>
              <w:bottom w:val="nil"/>
              <w:right w:val="nil"/>
            </w:tcBorders>
            <w:shd w:val="clear" w:color="000000" w:fill="FFFFFF"/>
            <w:noWrap/>
            <w:vAlign w:val="bottom"/>
            <w:hideMark/>
          </w:tcPr>
          <w:p w14:paraId="2AB891D3" w14:textId="77777777" w:rsidR="00B66EBE" w:rsidRPr="000B54FE" w:rsidRDefault="00B66EBE" w:rsidP="002B3022">
            <w:pPr>
              <w:rPr>
                <w:rFonts w:ascii="Arial" w:hAnsi="Arial" w:cs="Arial"/>
              </w:rPr>
            </w:pPr>
          </w:p>
        </w:tc>
        <w:tc>
          <w:tcPr>
            <w:tcW w:w="1004" w:type="dxa"/>
            <w:tcBorders>
              <w:top w:val="nil"/>
              <w:left w:val="nil"/>
              <w:bottom w:val="nil"/>
              <w:right w:val="nil"/>
            </w:tcBorders>
            <w:shd w:val="clear" w:color="000000" w:fill="FFFFFF"/>
            <w:noWrap/>
            <w:vAlign w:val="bottom"/>
            <w:hideMark/>
          </w:tcPr>
          <w:p w14:paraId="05BF0FB1" w14:textId="77777777" w:rsidR="00B66EBE" w:rsidRPr="000B54FE" w:rsidRDefault="00B66EBE" w:rsidP="002B3022">
            <w:pPr>
              <w:rPr>
                <w:rFonts w:ascii="Arial" w:hAnsi="Arial" w:cs="Arial"/>
              </w:rPr>
            </w:pPr>
          </w:p>
        </w:tc>
        <w:tc>
          <w:tcPr>
            <w:tcW w:w="1390" w:type="dxa"/>
            <w:tcBorders>
              <w:top w:val="nil"/>
              <w:left w:val="nil"/>
              <w:bottom w:val="nil"/>
              <w:right w:val="nil"/>
            </w:tcBorders>
            <w:shd w:val="clear" w:color="000000" w:fill="FFFFFF"/>
            <w:noWrap/>
            <w:vAlign w:val="bottom"/>
            <w:hideMark/>
          </w:tcPr>
          <w:p w14:paraId="0DC9AA15" w14:textId="77777777" w:rsidR="00B66EBE" w:rsidRPr="000B54FE" w:rsidRDefault="00B66EBE" w:rsidP="002B3022">
            <w:pPr>
              <w:rPr>
                <w:rFonts w:ascii="Arial" w:hAnsi="Arial" w:cs="Arial"/>
              </w:rPr>
            </w:pPr>
            <w:r w:rsidRPr="000B54FE">
              <w:rPr>
                <w:rFonts w:ascii="Arial" w:hAnsi="Arial" w:cs="Arial"/>
              </w:rPr>
              <w:t>1</w:t>
            </w:r>
            <w:r>
              <w:rPr>
                <w:rFonts w:ascii="Arial" w:hAnsi="Arial" w:cs="Arial"/>
              </w:rPr>
              <w:t>16</w:t>
            </w:r>
          </w:p>
        </w:tc>
        <w:tc>
          <w:tcPr>
            <w:tcW w:w="1849" w:type="dxa"/>
            <w:tcBorders>
              <w:top w:val="nil"/>
              <w:left w:val="nil"/>
              <w:bottom w:val="nil"/>
              <w:right w:val="nil"/>
            </w:tcBorders>
            <w:shd w:val="clear" w:color="000000" w:fill="FFFFFF"/>
            <w:noWrap/>
            <w:vAlign w:val="bottom"/>
            <w:hideMark/>
          </w:tcPr>
          <w:p w14:paraId="0C8EA4A0" w14:textId="77777777" w:rsidR="00B66EBE" w:rsidRPr="000B54FE" w:rsidRDefault="00B66EBE" w:rsidP="002B3022">
            <w:pPr>
              <w:rPr>
                <w:rFonts w:ascii="Arial" w:hAnsi="Arial" w:cs="Arial"/>
              </w:rPr>
            </w:pPr>
            <w:r w:rsidRPr="000B54FE">
              <w:rPr>
                <w:rFonts w:ascii="Arial" w:hAnsi="Arial" w:cs="Arial"/>
              </w:rPr>
              <w:t>16</w:t>
            </w:r>
            <w:r>
              <w:rPr>
                <w:rFonts w:ascii="Arial" w:hAnsi="Arial" w:cs="Arial"/>
              </w:rPr>
              <w:t>8</w:t>
            </w:r>
          </w:p>
        </w:tc>
        <w:tc>
          <w:tcPr>
            <w:tcW w:w="1388" w:type="dxa"/>
            <w:tcBorders>
              <w:top w:val="single" w:sz="4" w:space="0" w:color="auto"/>
              <w:left w:val="nil"/>
              <w:bottom w:val="nil"/>
              <w:right w:val="nil"/>
            </w:tcBorders>
            <w:shd w:val="clear" w:color="000000" w:fill="FFFFFF"/>
            <w:noWrap/>
            <w:vAlign w:val="bottom"/>
            <w:hideMark/>
          </w:tcPr>
          <w:p w14:paraId="574E3C0E" w14:textId="77777777" w:rsidR="00B66EBE" w:rsidRPr="000B54FE" w:rsidRDefault="00B66EBE" w:rsidP="002B3022">
            <w:pPr>
              <w:rPr>
                <w:rFonts w:ascii="Arial" w:hAnsi="Arial" w:cs="Arial"/>
              </w:rPr>
            </w:pPr>
          </w:p>
        </w:tc>
        <w:tc>
          <w:tcPr>
            <w:tcW w:w="1851" w:type="dxa"/>
            <w:tcBorders>
              <w:top w:val="single" w:sz="4" w:space="0" w:color="auto"/>
              <w:left w:val="nil"/>
              <w:bottom w:val="nil"/>
              <w:right w:val="nil"/>
            </w:tcBorders>
            <w:shd w:val="clear" w:color="000000" w:fill="FFFFFF"/>
            <w:noWrap/>
            <w:vAlign w:val="bottom"/>
            <w:hideMark/>
          </w:tcPr>
          <w:p w14:paraId="6F62CC2F" w14:textId="77777777" w:rsidR="00B66EBE" w:rsidRPr="000B54FE" w:rsidRDefault="00B66EBE" w:rsidP="002B3022">
            <w:pPr>
              <w:rPr>
                <w:rFonts w:ascii="Arial" w:hAnsi="Arial" w:cs="Arial"/>
              </w:rPr>
            </w:pPr>
          </w:p>
        </w:tc>
        <w:tc>
          <w:tcPr>
            <w:tcW w:w="1004" w:type="dxa"/>
            <w:tcBorders>
              <w:top w:val="nil"/>
              <w:left w:val="nil"/>
              <w:bottom w:val="nil"/>
              <w:right w:val="nil"/>
            </w:tcBorders>
            <w:noWrap/>
            <w:vAlign w:val="bottom"/>
            <w:hideMark/>
          </w:tcPr>
          <w:p w14:paraId="3C4024E1" w14:textId="77777777" w:rsidR="00B66EBE" w:rsidRPr="000B54FE" w:rsidRDefault="00B66EBE" w:rsidP="002B3022">
            <w:pPr>
              <w:rPr>
                <w:rFonts w:ascii="Arial" w:hAnsi="Arial" w:cs="Arial"/>
              </w:rPr>
            </w:pPr>
          </w:p>
        </w:tc>
      </w:tr>
      <w:tr w:rsidR="00B66EBE" w:rsidRPr="000B54FE" w14:paraId="73AF1335" w14:textId="77777777" w:rsidTr="002B3022">
        <w:trPr>
          <w:trHeight w:val="237"/>
        </w:trPr>
        <w:tc>
          <w:tcPr>
            <w:tcW w:w="1992" w:type="dxa"/>
            <w:tcBorders>
              <w:top w:val="nil"/>
              <w:left w:val="nil"/>
              <w:bottom w:val="nil"/>
              <w:right w:val="nil"/>
            </w:tcBorders>
            <w:noWrap/>
            <w:vAlign w:val="bottom"/>
            <w:hideMark/>
          </w:tcPr>
          <w:p w14:paraId="696171FD" w14:textId="77777777" w:rsidR="00B66EBE" w:rsidRPr="000B54FE" w:rsidRDefault="00B66EBE" w:rsidP="002B3022">
            <w:pPr>
              <w:rPr>
                <w:rFonts w:ascii="Arial" w:hAnsi="Arial" w:cs="Arial"/>
                <w:b/>
                <w:bCs/>
              </w:rPr>
            </w:pPr>
          </w:p>
        </w:tc>
        <w:tc>
          <w:tcPr>
            <w:tcW w:w="2395" w:type="dxa"/>
            <w:gridSpan w:val="2"/>
            <w:tcBorders>
              <w:top w:val="nil"/>
              <w:left w:val="nil"/>
              <w:bottom w:val="nil"/>
              <w:right w:val="nil"/>
            </w:tcBorders>
            <w:noWrap/>
            <w:vAlign w:val="bottom"/>
            <w:hideMark/>
          </w:tcPr>
          <w:p w14:paraId="5A5EDB63" w14:textId="77777777" w:rsidR="00B66EBE" w:rsidRPr="000B54FE" w:rsidRDefault="00B66EBE" w:rsidP="002B3022">
            <w:pPr>
              <w:rPr>
                <w:rFonts w:ascii="Arial" w:hAnsi="Arial" w:cs="Arial"/>
                <w:b/>
                <w:bCs/>
              </w:rPr>
            </w:pPr>
          </w:p>
        </w:tc>
        <w:tc>
          <w:tcPr>
            <w:tcW w:w="1849" w:type="dxa"/>
            <w:tcBorders>
              <w:top w:val="nil"/>
              <w:left w:val="nil"/>
              <w:bottom w:val="nil"/>
              <w:right w:val="nil"/>
            </w:tcBorders>
            <w:noWrap/>
            <w:vAlign w:val="bottom"/>
            <w:hideMark/>
          </w:tcPr>
          <w:p w14:paraId="04135510" w14:textId="77777777" w:rsidR="00B66EBE" w:rsidRPr="000B54FE" w:rsidRDefault="00B66EBE" w:rsidP="002B3022">
            <w:pPr>
              <w:rPr>
                <w:rFonts w:ascii="Arial" w:hAnsi="Arial" w:cs="Arial"/>
                <w:b/>
                <w:bCs/>
              </w:rPr>
            </w:pPr>
          </w:p>
        </w:tc>
        <w:tc>
          <w:tcPr>
            <w:tcW w:w="1388" w:type="dxa"/>
            <w:tcBorders>
              <w:top w:val="nil"/>
              <w:left w:val="nil"/>
              <w:bottom w:val="nil"/>
              <w:right w:val="nil"/>
            </w:tcBorders>
            <w:noWrap/>
            <w:vAlign w:val="bottom"/>
            <w:hideMark/>
          </w:tcPr>
          <w:p w14:paraId="74B2F018" w14:textId="77777777" w:rsidR="00B66EBE" w:rsidRPr="000B54FE" w:rsidRDefault="00B66EBE" w:rsidP="002B3022">
            <w:pPr>
              <w:rPr>
                <w:rFonts w:ascii="Arial" w:hAnsi="Arial" w:cs="Arial"/>
                <w:b/>
                <w:bCs/>
              </w:rPr>
            </w:pPr>
          </w:p>
        </w:tc>
        <w:tc>
          <w:tcPr>
            <w:tcW w:w="1851" w:type="dxa"/>
            <w:tcBorders>
              <w:top w:val="nil"/>
              <w:left w:val="nil"/>
              <w:bottom w:val="nil"/>
              <w:right w:val="nil"/>
            </w:tcBorders>
            <w:noWrap/>
            <w:vAlign w:val="bottom"/>
            <w:hideMark/>
          </w:tcPr>
          <w:p w14:paraId="0FB1CC25" w14:textId="77777777" w:rsidR="00B66EBE" w:rsidRPr="000B54FE" w:rsidRDefault="00B66EBE" w:rsidP="002B3022">
            <w:pPr>
              <w:rPr>
                <w:rFonts w:ascii="Arial" w:hAnsi="Arial" w:cs="Arial"/>
                <w:b/>
                <w:bCs/>
              </w:rPr>
            </w:pPr>
          </w:p>
        </w:tc>
        <w:tc>
          <w:tcPr>
            <w:tcW w:w="1004" w:type="dxa"/>
            <w:tcBorders>
              <w:top w:val="nil"/>
              <w:left w:val="nil"/>
              <w:bottom w:val="nil"/>
              <w:right w:val="nil"/>
            </w:tcBorders>
            <w:noWrap/>
            <w:vAlign w:val="bottom"/>
            <w:hideMark/>
          </w:tcPr>
          <w:p w14:paraId="32F171FF" w14:textId="77777777" w:rsidR="00B66EBE" w:rsidRPr="000B54FE" w:rsidRDefault="00B66EBE" w:rsidP="002B3022">
            <w:pPr>
              <w:rPr>
                <w:rFonts w:ascii="Arial" w:hAnsi="Arial" w:cs="Arial"/>
                <w:b/>
                <w:bCs/>
              </w:rPr>
            </w:pPr>
          </w:p>
        </w:tc>
      </w:tr>
    </w:tbl>
    <w:p w14:paraId="1E80D4B6" w14:textId="77777777" w:rsidR="00B66EBE" w:rsidRDefault="00B66EBE" w:rsidP="00B66EBE">
      <w:pPr>
        <w:pStyle w:val="NormalWeb"/>
        <w:shd w:val="clear" w:color="auto" w:fill="FFFFFF"/>
        <w:spacing w:before="0" w:beforeAutospacing="0" w:after="0" w:afterAutospacing="0"/>
        <w:rPr>
          <w:rFonts w:ascii="Arial" w:hAnsi="Arial" w:cs="Arial"/>
          <w:color w:val="212529"/>
        </w:rPr>
      </w:pPr>
      <w:r w:rsidRPr="005F075C">
        <w:rPr>
          <w:rFonts w:ascii="Arial" w:hAnsi="Arial" w:cs="Arial"/>
          <w:color w:val="212529"/>
        </w:rPr>
        <w:t xml:space="preserve">In relation to pay quartiles, women represent over 50% in each quartile. </w:t>
      </w:r>
      <w:r>
        <w:rPr>
          <w:rFonts w:ascii="Arial" w:hAnsi="Arial" w:cs="Arial"/>
          <w:color w:val="212529"/>
        </w:rPr>
        <w:t xml:space="preserve"> </w:t>
      </w:r>
      <w:r w:rsidRPr="005F075C">
        <w:rPr>
          <w:rFonts w:ascii="Arial" w:hAnsi="Arial" w:cs="Arial"/>
          <w:color w:val="212529"/>
        </w:rPr>
        <w:t>We are committed to ensuring that men and women are paid fairly and equally for the same or similar roles.</w:t>
      </w:r>
    </w:p>
    <w:p w14:paraId="4F6D18B7" w14:textId="77777777" w:rsidR="00B66EBE" w:rsidRPr="005F075C" w:rsidRDefault="00B66EBE" w:rsidP="00B66EBE">
      <w:pPr>
        <w:pStyle w:val="NormalWeb"/>
        <w:shd w:val="clear" w:color="auto" w:fill="FFFFFF"/>
        <w:spacing w:before="0" w:beforeAutospacing="0" w:after="0" w:afterAutospacing="0"/>
        <w:rPr>
          <w:rFonts w:ascii="Arial" w:hAnsi="Arial" w:cs="Arial"/>
          <w:color w:val="212529"/>
        </w:rPr>
      </w:pPr>
    </w:p>
    <w:p w14:paraId="275A1314" w14:textId="77777777" w:rsidR="00B66EBE" w:rsidRDefault="00B66EBE" w:rsidP="00B66EBE">
      <w:pPr>
        <w:pStyle w:val="NormalWeb"/>
        <w:shd w:val="clear" w:color="auto" w:fill="FFFFFF"/>
        <w:spacing w:before="0" w:beforeAutospacing="0" w:after="0" w:afterAutospacing="0"/>
        <w:rPr>
          <w:rFonts w:ascii="Arial" w:hAnsi="Arial" w:cs="Arial"/>
          <w:color w:val="212529"/>
        </w:rPr>
      </w:pPr>
      <w:r w:rsidRPr="005F075C">
        <w:rPr>
          <w:rFonts w:ascii="Arial" w:hAnsi="Arial" w:cs="Arial"/>
          <w:color w:val="212529"/>
        </w:rPr>
        <w:t xml:space="preserve">Partners for Inclusion does not pay bonuses and therefore has no figures in relation to </w:t>
      </w:r>
      <w:r>
        <w:rPr>
          <w:rFonts w:ascii="Arial" w:hAnsi="Arial" w:cs="Arial"/>
          <w:color w:val="212529"/>
        </w:rPr>
        <w:t>these.</w:t>
      </w:r>
    </w:p>
    <w:p w14:paraId="459A9DA3" w14:textId="77777777" w:rsidR="00B66EBE" w:rsidRDefault="00B66EBE" w:rsidP="00B66EBE">
      <w:pPr>
        <w:pStyle w:val="NormalWeb"/>
        <w:shd w:val="clear" w:color="auto" w:fill="FFFFFF"/>
        <w:spacing w:before="0" w:beforeAutospacing="0" w:after="0" w:afterAutospacing="0"/>
        <w:rPr>
          <w:rFonts w:ascii="Arial" w:hAnsi="Arial" w:cs="Arial"/>
          <w:color w:val="212529"/>
        </w:rPr>
      </w:pPr>
    </w:p>
    <w:p w14:paraId="579E58F8" w14:textId="77777777" w:rsidR="00B66EBE" w:rsidRDefault="00B66EBE" w:rsidP="00B66EBE">
      <w:pPr>
        <w:pStyle w:val="NormalWeb"/>
        <w:shd w:val="clear" w:color="auto" w:fill="FFFFFF"/>
        <w:spacing w:before="0" w:beforeAutospacing="0" w:after="0" w:afterAutospacing="0"/>
        <w:rPr>
          <w:rFonts w:ascii="Arial" w:hAnsi="Arial" w:cs="Arial"/>
          <w:color w:val="212529"/>
        </w:rPr>
      </w:pPr>
    </w:p>
    <w:p w14:paraId="70C80B5E" w14:textId="77777777" w:rsidR="00B66EBE" w:rsidRPr="000F6CFD" w:rsidRDefault="00B66EBE" w:rsidP="00B66EBE">
      <w:pPr>
        <w:pStyle w:val="NormalWeb"/>
        <w:shd w:val="clear" w:color="auto" w:fill="FFFFFF"/>
        <w:spacing w:before="0" w:beforeAutospacing="0" w:after="0" w:afterAutospacing="0"/>
        <w:rPr>
          <w:rFonts w:ascii="Arial" w:hAnsi="Arial" w:cs="Arial"/>
          <w:color w:val="212529"/>
        </w:rPr>
      </w:pPr>
    </w:p>
    <w:p w14:paraId="4568F6DB" w14:textId="77777777" w:rsidR="00B66EBE" w:rsidRDefault="00B66EBE" w:rsidP="00B66EBE">
      <w:pPr>
        <w:pStyle w:val="NormalWeb"/>
        <w:shd w:val="clear" w:color="auto" w:fill="FFFFFF"/>
        <w:spacing w:before="0" w:beforeAutospacing="0" w:after="0" w:afterAutospacing="0"/>
        <w:rPr>
          <w:rFonts w:ascii="Arial" w:hAnsi="Arial" w:cs="Arial"/>
          <w:color w:val="212529"/>
        </w:rPr>
      </w:pPr>
    </w:p>
    <w:p w14:paraId="66D30400" w14:textId="77777777" w:rsidR="00B66EBE" w:rsidRDefault="00B66EBE" w:rsidP="00B66EBE">
      <w:pPr>
        <w:pStyle w:val="NormalWeb"/>
        <w:shd w:val="clear" w:color="auto" w:fill="FFFFFF"/>
        <w:spacing w:before="0" w:beforeAutospacing="0" w:after="0" w:afterAutospacing="0"/>
        <w:rPr>
          <w:rFonts w:ascii="Arial" w:hAnsi="Arial" w:cs="Arial"/>
          <w:color w:val="212529"/>
        </w:rPr>
      </w:pPr>
    </w:p>
    <w:p w14:paraId="0DEA7268" w14:textId="54A15917" w:rsidR="00B66EBE" w:rsidRPr="00377AD1" w:rsidRDefault="00B66EBE" w:rsidP="008A42AB">
      <w:pPr>
        <w:pStyle w:val="NormalWeb"/>
        <w:shd w:val="clear" w:color="auto" w:fill="FFFFFF"/>
        <w:spacing w:before="0" w:beforeAutospacing="0" w:after="0" w:afterAutospacing="0"/>
        <w:rPr>
          <w:rFonts w:ascii="Arial" w:hAnsi="Arial" w:cs="Arial"/>
          <w:b/>
          <w:bCs/>
        </w:rPr>
      </w:pPr>
      <w:r w:rsidRPr="00377AD1">
        <w:rPr>
          <w:b/>
          <w:bCs/>
          <w:noProof/>
          <w:u w:val="single"/>
        </w:rPr>
        <w:lastRenderedPageBreak/>
        <w:drawing>
          <wp:anchor distT="0" distB="0" distL="114300" distR="114300" simplePos="0" relativeHeight="251662336" behindDoc="0" locked="0" layoutInCell="1" allowOverlap="1" wp14:anchorId="11BAE6FF" wp14:editId="4A3C7EEF">
            <wp:simplePos x="0" y="0"/>
            <wp:positionH relativeFrom="margin">
              <wp:posOffset>4781550</wp:posOffset>
            </wp:positionH>
            <wp:positionV relativeFrom="margin">
              <wp:posOffset>-186690</wp:posOffset>
            </wp:positionV>
            <wp:extent cx="1376045" cy="561975"/>
            <wp:effectExtent l="0" t="0" r="0" b="9525"/>
            <wp:wrapSquare wrapText="bothSides"/>
            <wp:docPr id="1039794244" name="Picture 103979424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604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7AD1">
        <w:rPr>
          <w:rFonts w:ascii="Arial" w:hAnsi="Arial" w:cs="Arial"/>
          <w:b/>
          <w:bCs/>
        </w:rPr>
        <w:t>April 2022</w:t>
      </w:r>
    </w:p>
    <w:p w14:paraId="7633BF2B" w14:textId="77777777" w:rsidR="00B66EBE" w:rsidRPr="00484606" w:rsidRDefault="00B66EBE" w:rsidP="00B66EBE">
      <w:pPr>
        <w:pStyle w:val="NormalWeb"/>
        <w:rPr>
          <w:rFonts w:ascii="Arial" w:hAnsi="Arial" w:cs="Arial"/>
          <w:color w:val="7030A0"/>
        </w:rPr>
      </w:pPr>
      <w:r w:rsidRPr="00484606">
        <w:rPr>
          <w:rFonts w:ascii="Arial" w:hAnsi="Arial" w:cs="Arial"/>
          <w:color w:val="7030A0"/>
        </w:rPr>
        <w:t>MEDIAN GENDER PAY GAP IN HOURLY PAY</w:t>
      </w:r>
    </w:p>
    <w:p w14:paraId="3A39C816" w14:textId="77777777" w:rsidR="00B66EBE" w:rsidRPr="009C6347" w:rsidRDefault="00B66EBE" w:rsidP="00B66EBE">
      <w:pPr>
        <w:pStyle w:val="NormalWeb"/>
        <w:rPr>
          <w:rFonts w:ascii="Arial" w:hAnsi="Arial" w:cs="Arial"/>
          <w:color w:val="000000"/>
        </w:rPr>
      </w:pPr>
      <w:r w:rsidRPr="009C6347">
        <w:rPr>
          <w:rFonts w:ascii="Arial" w:hAnsi="Arial" w:cs="Arial"/>
          <w:color w:val="000000"/>
        </w:rPr>
        <w:t>The median gender pay gap is the % difference between the “middle point” hourly rate of pay of all male full-pay relevant employees and that of female full-pay relevant employees. For example</w:t>
      </w:r>
      <w:r>
        <w:rPr>
          <w:rFonts w:ascii="Arial" w:hAnsi="Arial" w:cs="Arial"/>
          <w:color w:val="000000"/>
        </w:rPr>
        <w:t>,</w:t>
      </w:r>
      <w:r w:rsidRPr="009C6347">
        <w:rPr>
          <w:rFonts w:ascii="Arial" w:hAnsi="Arial" w:cs="Arial"/>
          <w:color w:val="000000"/>
        </w:rPr>
        <w:t xml:space="preserve"> if there were 99 employees, ordered by hourly rate, then the median point would be the rate for Employee 50.</w:t>
      </w:r>
    </w:p>
    <w:p w14:paraId="55BDCA62" w14:textId="77777777" w:rsidR="00B66EBE" w:rsidRPr="009C6347" w:rsidRDefault="00B66EBE" w:rsidP="00B66EBE">
      <w:pPr>
        <w:pStyle w:val="NormalWeb"/>
        <w:rPr>
          <w:rFonts w:ascii="Arial" w:hAnsi="Arial" w:cs="Arial"/>
          <w:color w:val="000000"/>
        </w:rPr>
      </w:pPr>
      <w:r w:rsidRPr="009C6347">
        <w:rPr>
          <w:rFonts w:ascii="Arial" w:hAnsi="Arial" w:cs="Arial"/>
          <w:color w:val="000000"/>
        </w:rPr>
        <w:t xml:space="preserve">The median hourly rate for both males and females for the period </w:t>
      </w:r>
      <w:r>
        <w:rPr>
          <w:rFonts w:ascii="Arial" w:hAnsi="Arial" w:cs="Arial"/>
          <w:color w:val="000000"/>
        </w:rPr>
        <w:t>is</w:t>
      </w:r>
      <w:r w:rsidRPr="009C6347">
        <w:rPr>
          <w:rFonts w:ascii="Arial" w:hAnsi="Arial" w:cs="Arial"/>
          <w:color w:val="000000"/>
        </w:rPr>
        <w:t xml:space="preserve"> £</w:t>
      </w:r>
      <w:r>
        <w:rPr>
          <w:rFonts w:ascii="Arial" w:hAnsi="Arial" w:cs="Arial"/>
          <w:color w:val="000000"/>
        </w:rPr>
        <w:t>10.02</w:t>
      </w:r>
      <w:r w:rsidRPr="009C6347">
        <w:rPr>
          <w:rFonts w:ascii="Arial" w:hAnsi="Arial" w:cs="Arial"/>
          <w:color w:val="000000"/>
        </w:rPr>
        <w:t xml:space="preserve"> – so the gap on this basis is zero.</w:t>
      </w:r>
    </w:p>
    <w:p w14:paraId="6D09FBFF" w14:textId="77777777" w:rsidR="00B66EBE" w:rsidRDefault="00B66EBE" w:rsidP="00B66EBE">
      <w:pPr>
        <w:pStyle w:val="NormalWeb"/>
        <w:rPr>
          <w:rFonts w:ascii="Arial" w:hAnsi="Arial" w:cs="Arial"/>
          <w:color w:val="000000"/>
        </w:rPr>
      </w:pPr>
    </w:p>
    <w:p w14:paraId="33156325" w14:textId="77777777" w:rsidR="00B66EBE" w:rsidRPr="00484606" w:rsidRDefault="00B66EBE" w:rsidP="00B66EBE">
      <w:pPr>
        <w:pStyle w:val="NormalWeb"/>
        <w:rPr>
          <w:rFonts w:ascii="Arial" w:hAnsi="Arial" w:cs="Arial"/>
          <w:color w:val="7030A0"/>
        </w:rPr>
      </w:pPr>
      <w:r w:rsidRPr="00484606">
        <w:rPr>
          <w:rFonts w:ascii="Arial" w:hAnsi="Arial" w:cs="Arial"/>
          <w:color w:val="7030A0"/>
        </w:rPr>
        <w:t>MEAN GENDER PAY GAP IN HOURLY PAY</w:t>
      </w:r>
    </w:p>
    <w:p w14:paraId="56893F82" w14:textId="77777777" w:rsidR="00B66EBE" w:rsidRPr="009C6347" w:rsidRDefault="00B66EBE" w:rsidP="00B66EBE">
      <w:pPr>
        <w:pStyle w:val="NormalWeb"/>
        <w:rPr>
          <w:rFonts w:ascii="Arial" w:hAnsi="Arial" w:cs="Arial"/>
          <w:color w:val="000000"/>
        </w:rPr>
      </w:pPr>
      <w:r w:rsidRPr="009C6347">
        <w:rPr>
          <w:rFonts w:ascii="Arial" w:hAnsi="Arial" w:cs="Arial"/>
          <w:color w:val="000000"/>
        </w:rPr>
        <w:t>The mean gender pay gap is the % difference between the average hourly rate of pay of male full-pay relevant employees and that of female full-pay relevant employees.</w:t>
      </w:r>
    </w:p>
    <w:p w14:paraId="6A56397D" w14:textId="77777777" w:rsidR="00B66EBE" w:rsidRPr="00926B09" w:rsidRDefault="00B66EBE" w:rsidP="00B66EBE">
      <w:pPr>
        <w:pStyle w:val="NormalWeb"/>
        <w:rPr>
          <w:rFonts w:ascii="Arial" w:hAnsi="Arial" w:cs="Arial"/>
          <w:color w:val="000000"/>
        </w:rPr>
      </w:pPr>
      <w:r w:rsidRPr="009C6347">
        <w:rPr>
          <w:rFonts w:ascii="Arial" w:hAnsi="Arial" w:cs="Arial"/>
          <w:color w:val="000000"/>
        </w:rPr>
        <w:t xml:space="preserve">The mean gender pay gap in </w:t>
      </w:r>
      <w:r w:rsidRPr="005F075C">
        <w:rPr>
          <w:rFonts w:ascii="Arial" w:hAnsi="Arial" w:cs="Arial"/>
          <w:color w:val="000000"/>
        </w:rPr>
        <w:t>hourly pay is</w:t>
      </w:r>
      <w:r>
        <w:rPr>
          <w:rFonts w:ascii="Arial" w:hAnsi="Arial" w:cs="Arial"/>
          <w:color w:val="000000"/>
        </w:rPr>
        <w:t xml:space="preserve"> -7.5%.</w:t>
      </w:r>
      <w:r w:rsidRPr="009C6347">
        <w:rPr>
          <w:rFonts w:ascii="Arial" w:hAnsi="Arial" w:cs="Arial"/>
          <w:color w:val="000000"/>
        </w:rPr>
        <w:t xml:space="preserve"> </w:t>
      </w:r>
      <w:r>
        <w:rPr>
          <w:rFonts w:ascii="Arial" w:hAnsi="Arial" w:cs="Arial"/>
          <w:color w:val="000000"/>
        </w:rPr>
        <w:t>T</w:t>
      </w:r>
      <w:r w:rsidRPr="009C6347">
        <w:rPr>
          <w:rFonts w:ascii="Arial" w:hAnsi="Arial" w:cs="Arial"/>
          <w:color w:val="000000"/>
        </w:rPr>
        <w:t xml:space="preserve">his means that, on the average hourly pay for the period, female colleagues </w:t>
      </w:r>
      <w:r>
        <w:rPr>
          <w:rFonts w:ascii="Arial" w:hAnsi="Arial" w:cs="Arial"/>
          <w:color w:val="000000"/>
        </w:rPr>
        <w:t>were</w:t>
      </w:r>
      <w:r w:rsidRPr="009C6347">
        <w:rPr>
          <w:rFonts w:ascii="Arial" w:hAnsi="Arial" w:cs="Arial"/>
          <w:color w:val="000000"/>
        </w:rPr>
        <w:t xml:space="preserve"> paid </w:t>
      </w:r>
      <w:r>
        <w:rPr>
          <w:rFonts w:ascii="Arial" w:hAnsi="Arial" w:cs="Arial"/>
          <w:color w:val="000000"/>
        </w:rPr>
        <w:t>-7.5%</w:t>
      </w:r>
      <w:r w:rsidRPr="009C6347">
        <w:rPr>
          <w:rFonts w:ascii="Arial" w:hAnsi="Arial" w:cs="Arial"/>
          <w:color w:val="000000"/>
        </w:rPr>
        <w:t xml:space="preserve"> less than male colleagues, across the whole organisation</w:t>
      </w:r>
      <w:r>
        <w:rPr>
          <w:rFonts w:ascii="Arial" w:hAnsi="Arial" w:cs="Arial"/>
          <w:color w:val="000000"/>
        </w:rPr>
        <w:t xml:space="preserve"> of 325 staff.</w:t>
      </w:r>
    </w:p>
    <w:p w14:paraId="08E85365" w14:textId="77777777" w:rsidR="00B66EBE" w:rsidRPr="009C6347" w:rsidRDefault="00B66EBE" w:rsidP="00B66EBE">
      <w:pPr>
        <w:rPr>
          <w:rFonts w:ascii="Arial" w:hAnsi="Arial" w:cs="Arial"/>
          <w:b/>
          <w:bCs/>
        </w:rPr>
      </w:pPr>
      <w:r w:rsidRPr="009C6347">
        <w:rPr>
          <w:rFonts w:ascii="Arial" w:hAnsi="Arial" w:cs="Arial"/>
          <w:b/>
          <w:bCs/>
        </w:rPr>
        <w:t xml:space="preserve"> Proportion of males and females in each pay quartile</w:t>
      </w:r>
      <w:r>
        <w:rPr>
          <w:rFonts w:ascii="Arial" w:hAnsi="Arial" w:cs="Arial"/>
          <w:b/>
          <w:bCs/>
        </w:rPr>
        <w:t xml:space="preserve"> April 2022 for relevant staff</w:t>
      </w:r>
    </w:p>
    <w:tbl>
      <w:tblPr>
        <w:tblW w:w="9476" w:type="dxa"/>
        <w:tblCellMar>
          <w:top w:w="15" w:type="dxa"/>
          <w:bottom w:w="15" w:type="dxa"/>
        </w:tblCellMar>
        <w:tblLook w:val="04A0" w:firstRow="1" w:lastRow="0" w:firstColumn="1" w:lastColumn="0" w:noHBand="0" w:noVBand="1"/>
      </w:tblPr>
      <w:tblGrid>
        <w:gridCol w:w="1992"/>
        <w:gridCol w:w="1004"/>
        <w:gridCol w:w="1391"/>
        <w:gridCol w:w="1849"/>
        <w:gridCol w:w="1388"/>
        <w:gridCol w:w="1852"/>
      </w:tblGrid>
      <w:tr w:rsidR="00B66EBE" w:rsidRPr="000B54FE" w14:paraId="6B2B94D7" w14:textId="77777777" w:rsidTr="002B3022">
        <w:trPr>
          <w:trHeight w:val="237"/>
        </w:trPr>
        <w:tc>
          <w:tcPr>
            <w:tcW w:w="1992" w:type="dxa"/>
            <w:tcBorders>
              <w:top w:val="nil"/>
              <w:left w:val="nil"/>
              <w:bottom w:val="nil"/>
              <w:right w:val="nil"/>
            </w:tcBorders>
            <w:shd w:val="clear" w:color="000000" w:fill="FFFFFF"/>
            <w:noWrap/>
            <w:vAlign w:val="bottom"/>
            <w:hideMark/>
          </w:tcPr>
          <w:p w14:paraId="53D3FB25" w14:textId="77777777" w:rsidR="00B66EBE" w:rsidRPr="000B54FE" w:rsidRDefault="00B66EBE" w:rsidP="002B3022">
            <w:pPr>
              <w:rPr>
                <w:rFonts w:ascii="Arial" w:hAnsi="Arial" w:cs="Arial"/>
              </w:rPr>
            </w:pPr>
          </w:p>
        </w:tc>
        <w:tc>
          <w:tcPr>
            <w:tcW w:w="1004" w:type="dxa"/>
            <w:tcBorders>
              <w:top w:val="nil"/>
              <w:left w:val="nil"/>
              <w:bottom w:val="nil"/>
              <w:right w:val="nil"/>
            </w:tcBorders>
            <w:shd w:val="clear" w:color="000000" w:fill="FFFFFF"/>
            <w:noWrap/>
            <w:vAlign w:val="bottom"/>
            <w:hideMark/>
          </w:tcPr>
          <w:p w14:paraId="06568FCA" w14:textId="77777777" w:rsidR="00B66EBE" w:rsidRPr="000B54FE" w:rsidRDefault="00B66EBE" w:rsidP="002B3022">
            <w:pPr>
              <w:rPr>
                <w:rFonts w:ascii="Arial" w:hAnsi="Arial" w:cs="Arial"/>
              </w:rPr>
            </w:pPr>
          </w:p>
        </w:tc>
        <w:tc>
          <w:tcPr>
            <w:tcW w:w="3240" w:type="dxa"/>
            <w:gridSpan w:val="2"/>
            <w:tcBorders>
              <w:top w:val="nil"/>
              <w:left w:val="nil"/>
              <w:bottom w:val="nil"/>
              <w:right w:val="nil"/>
            </w:tcBorders>
            <w:shd w:val="clear" w:color="000000" w:fill="FFFFFF"/>
            <w:vAlign w:val="bottom"/>
            <w:hideMark/>
          </w:tcPr>
          <w:p w14:paraId="41D6E796" w14:textId="77777777" w:rsidR="00B66EBE" w:rsidRPr="000B54FE" w:rsidRDefault="00B66EBE" w:rsidP="002B3022">
            <w:pPr>
              <w:rPr>
                <w:rFonts w:ascii="Arial" w:hAnsi="Arial" w:cs="Arial"/>
                <w:b/>
                <w:bCs/>
              </w:rPr>
            </w:pPr>
            <w:r w:rsidRPr="000B54FE">
              <w:rPr>
                <w:rFonts w:ascii="Arial" w:hAnsi="Arial" w:cs="Arial"/>
                <w:b/>
                <w:bCs/>
              </w:rPr>
              <w:t>Numbers</w:t>
            </w:r>
          </w:p>
        </w:tc>
        <w:tc>
          <w:tcPr>
            <w:tcW w:w="3240" w:type="dxa"/>
            <w:gridSpan w:val="2"/>
            <w:tcBorders>
              <w:top w:val="nil"/>
              <w:left w:val="nil"/>
              <w:bottom w:val="nil"/>
              <w:right w:val="nil"/>
            </w:tcBorders>
            <w:shd w:val="clear" w:color="000000" w:fill="FFFFFF"/>
            <w:vAlign w:val="bottom"/>
            <w:hideMark/>
          </w:tcPr>
          <w:p w14:paraId="6C7F4FF7" w14:textId="77777777" w:rsidR="00B66EBE" w:rsidRPr="000B54FE" w:rsidRDefault="00B66EBE" w:rsidP="002B3022">
            <w:pPr>
              <w:rPr>
                <w:rFonts w:ascii="Arial" w:hAnsi="Arial" w:cs="Arial"/>
                <w:b/>
                <w:bCs/>
              </w:rPr>
            </w:pPr>
            <w:r w:rsidRPr="000B54FE">
              <w:rPr>
                <w:rFonts w:ascii="Arial" w:hAnsi="Arial" w:cs="Arial"/>
                <w:b/>
                <w:bCs/>
              </w:rPr>
              <w:t>Percentages</w:t>
            </w:r>
          </w:p>
        </w:tc>
      </w:tr>
      <w:tr w:rsidR="00B66EBE" w:rsidRPr="000B54FE" w14:paraId="34880928" w14:textId="77777777" w:rsidTr="002B3022">
        <w:trPr>
          <w:trHeight w:val="237"/>
        </w:trPr>
        <w:tc>
          <w:tcPr>
            <w:tcW w:w="1992" w:type="dxa"/>
            <w:tcBorders>
              <w:top w:val="nil"/>
              <w:left w:val="nil"/>
              <w:bottom w:val="nil"/>
              <w:right w:val="nil"/>
            </w:tcBorders>
            <w:shd w:val="clear" w:color="000000" w:fill="FFFFFF"/>
            <w:noWrap/>
            <w:vAlign w:val="bottom"/>
            <w:hideMark/>
          </w:tcPr>
          <w:p w14:paraId="01F9DB58" w14:textId="77777777" w:rsidR="00B66EBE" w:rsidRPr="000B54FE" w:rsidRDefault="00B66EBE" w:rsidP="002B3022">
            <w:pPr>
              <w:rPr>
                <w:rFonts w:ascii="Arial" w:hAnsi="Arial" w:cs="Arial"/>
                <w:b/>
                <w:bCs/>
              </w:rPr>
            </w:pPr>
            <w:r w:rsidRPr="000B54FE">
              <w:rPr>
                <w:rFonts w:ascii="Arial" w:hAnsi="Arial" w:cs="Arial"/>
                <w:b/>
                <w:bCs/>
              </w:rPr>
              <w:t>Quartile</w:t>
            </w:r>
          </w:p>
        </w:tc>
        <w:tc>
          <w:tcPr>
            <w:tcW w:w="1004" w:type="dxa"/>
            <w:tcBorders>
              <w:top w:val="nil"/>
              <w:left w:val="nil"/>
              <w:bottom w:val="nil"/>
              <w:right w:val="nil"/>
            </w:tcBorders>
            <w:shd w:val="clear" w:color="000000" w:fill="FFFFFF"/>
            <w:noWrap/>
            <w:vAlign w:val="bottom"/>
            <w:hideMark/>
          </w:tcPr>
          <w:p w14:paraId="69606D59" w14:textId="77777777" w:rsidR="00B66EBE" w:rsidRPr="000B54FE" w:rsidRDefault="00B66EBE" w:rsidP="002B3022">
            <w:pPr>
              <w:rPr>
                <w:rFonts w:ascii="Arial" w:hAnsi="Arial" w:cs="Arial"/>
              </w:rPr>
            </w:pPr>
          </w:p>
        </w:tc>
        <w:tc>
          <w:tcPr>
            <w:tcW w:w="1391" w:type="dxa"/>
            <w:tcBorders>
              <w:top w:val="nil"/>
              <w:left w:val="nil"/>
              <w:bottom w:val="single" w:sz="4" w:space="0" w:color="auto"/>
              <w:right w:val="nil"/>
            </w:tcBorders>
            <w:shd w:val="clear" w:color="000000" w:fill="FFFFFF"/>
            <w:noWrap/>
            <w:vAlign w:val="bottom"/>
            <w:hideMark/>
          </w:tcPr>
          <w:p w14:paraId="334FD9E2" w14:textId="77777777" w:rsidR="00B66EBE" w:rsidRPr="000B54FE" w:rsidRDefault="00B66EBE" w:rsidP="002B3022">
            <w:pPr>
              <w:rPr>
                <w:rFonts w:ascii="Arial" w:hAnsi="Arial" w:cs="Arial"/>
              </w:rPr>
            </w:pPr>
            <w:r w:rsidRPr="000B54FE">
              <w:rPr>
                <w:rFonts w:ascii="Arial" w:hAnsi="Arial" w:cs="Arial"/>
              </w:rPr>
              <w:t>Males</w:t>
            </w:r>
          </w:p>
        </w:tc>
        <w:tc>
          <w:tcPr>
            <w:tcW w:w="1849" w:type="dxa"/>
            <w:tcBorders>
              <w:top w:val="nil"/>
              <w:left w:val="nil"/>
              <w:bottom w:val="single" w:sz="4" w:space="0" w:color="auto"/>
              <w:right w:val="nil"/>
            </w:tcBorders>
            <w:shd w:val="clear" w:color="000000" w:fill="FFFFFF"/>
            <w:noWrap/>
            <w:vAlign w:val="bottom"/>
            <w:hideMark/>
          </w:tcPr>
          <w:p w14:paraId="196688D2" w14:textId="77777777" w:rsidR="00B66EBE" w:rsidRPr="000B54FE" w:rsidRDefault="00B66EBE" w:rsidP="002B3022">
            <w:pPr>
              <w:rPr>
                <w:rFonts w:ascii="Arial" w:hAnsi="Arial" w:cs="Arial"/>
              </w:rPr>
            </w:pPr>
            <w:r w:rsidRPr="000B54FE">
              <w:rPr>
                <w:rFonts w:ascii="Arial" w:hAnsi="Arial" w:cs="Arial"/>
              </w:rPr>
              <w:t>Females</w:t>
            </w:r>
          </w:p>
        </w:tc>
        <w:tc>
          <w:tcPr>
            <w:tcW w:w="1388" w:type="dxa"/>
            <w:tcBorders>
              <w:top w:val="nil"/>
              <w:left w:val="nil"/>
              <w:bottom w:val="single" w:sz="4" w:space="0" w:color="auto"/>
              <w:right w:val="nil"/>
            </w:tcBorders>
            <w:shd w:val="clear" w:color="000000" w:fill="FFFFFF"/>
            <w:noWrap/>
            <w:vAlign w:val="bottom"/>
            <w:hideMark/>
          </w:tcPr>
          <w:p w14:paraId="0D9BB257" w14:textId="77777777" w:rsidR="00B66EBE" w:rsidRPr="000B54FE" w:rsidRDefault="00B66EBE" w:rsidP="002B3022">
            <w:pPr>
              <w:rPr>
                <w:rFonts w:ascii="Arial" w:hAnsi="Arial" w:cs="Arial"/>
              </w:rPr>
            </w:pPr>
            <w:r w:rsidRPr="000B54FE">
              <w:rPr>
                <w:rFonts w:ascii="Arial" w:hAnsi="Arial" w:cs="Arial"/>
              </w:rPr>
              <w:t>Males</w:t>
            </w:r>
          </w:p>
        </w:tc>
        <w:tc>
          <w:tcPr>
            <w:tcW w:w="1852" w:type="dxa"/>
            <w:tcBorders>
              <w:top w:val="nil"/>
              <w:left w:val="nil"/>
              <w:bottom w:val="single" w:sz="4" w:space="0" w:color="auto"/>
              <w:right w:val="nil"/>
            </w:tcBorders>
            <w:shd w:val="clear" w:color="000000" w:fill="FFFFFF"/>
            <w:noWrap/>
            <w:vAlign w:val="bottom"/>
            <w:hideMark/>
          </w:tcPr>
          <w:p w14:paraId="2915631D" w14:textId="77777777" w:rsidR="00B66EBE" w:rsidRPr="000B54FE" w:rsidRDefault="00B66EBE" w:rsidP="002B3022">
            <w:pPr>
              <w:rPr>
                <w:rFonts w:ascii="Arial" w:hAnsi="Arial" w:cs="Arial"/>
              </w:rPr>
            </w:pPr>
            <w:r w:rsidRPr="000B54FE">
              <w:rPr>
                <w:rFonts w:ascii="Arial" w:hAnsi="Arial" w:cs="Arial"/>
              </w:rPr>
              <w:t>Females</w:t>
            </w:r>
          </w:p>
        </w:tc>
      </w:tr>
      <w:tr w:rsidR="00B66EBE" w:rsidRPr="000B54FE" w14:paraId="298BBD59" w14:textId="77777777" w:rsidTr="002B3022">
        <w:trPr>
          <w:trHeight w:val="237"/>
        </w:trPr>
        <w:tc>
          <w:tcPr>
            <w:tcW w:w="1992" w:type="dxa"/>
            <w:tcBorders>
              <w:top w:val="nil"/>
              <w:left w:val="nil"/>
              <w:bottom w:val="nil"/>
              <w:right w:val="nil"/>
            </w:tcBorders>
            <w:shd w:val="clear" w:color="000000" w:fill="FFFFFF"/>
            <w:noWrap/>
            <w:vAlign w:val="bottom"/>
            <w:hideMark/>
          </w:tcPr>
          <w:p w14:paraId="61D41128" w14:textId="77777777" w:rsidR="00B66EBE" w:rsidRPr="000B54FE" w:rsidRDefault="00B66EBE" w:rsidP="002B3022">
            <w:pPr>
              <w:rPr>
                <w:rFonts w:ascii="Arial" w:hAnsi="Arial" w:cs="Arial"/>
              </w:rPr>
            </w:pPr>
            <w:r w:rsidRPr="000B54FE">
              <w:rPr>
                <w:rFonts w:ascii="Arial" w:hAnsi="Arial" w:cs="Arial"/>
              </w:rPr>
              <w:t xml:space="preserve">Lower </w:t>
            </w:r>
          </w:p>
        </w:tc>
        <w:tc>
          <w:tcPr>
            <w:tcW w:w="1004" w:type="dxa"/>
            <w:tcBorders>
              <w:top w:val="nil"/>
              <w:left w:val="nil"/>
              <w:bottom w:val="nil"/>
              <w:right w:val="nil"/>
            </w:tcBorders>
            <w:shd w:val="clear" w:color="000000" w:fill="FFFFFF"/>
            <w:noWrap/>
            <w:vAlign w:val="bottom"/>
            <w:hideMark/>
          </w:tcPr>
          <w:p w14:paraId="1FA30C44" w14:textId="77777777" w:rsidR="00B66EBE" w:rsidRPr="000B54FE" w:rsidRDefault="00B66EBE" w:rsidP="002B3022">
            <w:pPr>
              <w:rPr>
                <w:rFonts w:ascii="Arial" w:hAnsi="Arial" w:cs="Arial"/>
              </w:rPr>
            </w:pPr>
          </w:p>
        </w:tc>
        <w:tc>
          <w:tcPr>
            <w:tcW w:w="1391" w:type="dxa"/>
            <w:tcBorders>
              <w:top w:val="nil"/>
              <w:left w:val="nil"/>
              <w:bottom w:val="nil"/>
              <w:right w:val="nil"/>
            </w:tcBorders>
            <w:shd w:val="clear" w:color="000000" w:fill="FFFFFF"/>
            <w:noWrap/>
            <w:vAlign w:val="bottom"/>
            <w:hideMark/>
          </w:tcPr>
          <w:p w14:paraId="4D1A5349" w14:textId="77777777" w:rsidR="00B66EBE" w:rsidRPr="000B54FE" w:rsidRDefault="00B66EBE" w:rsidP="002B3022">
            <w:pPr>
              <w:rPr>
                <w:rFonts w:ascii="Arial" w:hAnsi="Arial" w:cs="Arial"/>
              </w:rPr>
            </w:pPr>
            <w:r w:rsidRPr="000B54FE">
              <w:rPr>
                <w:rFonts w:ascii="Arial" w:hAnsi="Arial" w:cs="Arial"/>
              </w:rPr>
              <w:t>28</w:t>
            </w:r>
          </w:p>
        </w:tc>
        <w:tc>
          <w:tcPr>
            <w:tcW w:w="1849" w:type="dxa"/>
            <w:tcBorders>
              <w:top w:val="nil"/>
              <w:left w:val="nil"/>
              <w:bottom w:val="nil"/>
              <w:right w:val="nil"/>
            </w:tcBorders>
            <w:shd w:val="clear" w:color="000000" w:fill="FFFFFF"/>
            <w:noWrap/>
            <w:vAlign w:val="bottom"/>
            <w:hideMark/>
          </w:tcPr>
          <w:p w14:paraId="05F9F569" w14:textId="77777777" w:rsidR="00B66EBE" w:rsidRPr="000B54FE" w:rsidRDefault="00B66EBE" w:rsidP="002B3022">
            <w:pPr>
              <w:rPr>
                <w:rFonts w:ascii="Arial" w:hAnsi="Arial" w:cs="Arial"/>
              </w:rPr>
            </w:pPr>
            <w:r w:rsidRPr="000B54FE">
              <w:rPr>
                <w:rFonts w:ascii="Arial" w:hAnsi="Arial" w:cs="Arial"/>
              </w:rPr>
              <w:t>42</w:t>
            </w:r>
          </w:p>
        </w:tc>
        <w:tc>
          <w:tcPr>
            <w:tcW w:w="1388" w:type="dxa"/>
            <w:tcBorders>
              <w:top w:val="nil"/>
              <w:left w:val="nil"/>
              <w:bottom w:val="nil"/>
              <w:right w:val="nil"/>
            </w:tcBorders>
            <w:shd w:val="clear" w:color="000000" w:fill="FFFFFF"/>
            <w:noWrap/>
            <w:vAlign w:val="bottom"/>
            <w:hideMark/>
          </w:tcPr>
          <w:p w14:paraId="6148611C" w14:textId="77777777" w:rsidR="00B66EBE" w:rsidRPr="000B54FE" w:rsidRDefault="00B66EBE" w:rsidP="002B3022">
            <w:pPr>
              <w:rPr>
                <w:rFonts w:ascii="Arial" w:hAnsi="Arial" w:cs="Arial"/>
              </w:rPr>
            </w:pPr>
            <w:r w:rsidRPr="000B54FE">
              <w:rPr>
                <w:rFonts w:ascii="Arial" w:hAnsi="Arial" w:cs="Arial"/>
              </w:rPr>
              <w:t>40%</w:t>
            </w:r>
          </w:p>
        </w:tc>
        <w:tc>
          <w:tcPr>
            <w:tcW w:w="1852" w:type="dxa"/>
            <w:tcBorders>
              <w:top w:val="nil"/>
              <w:left w:val="nil"/>
              <w:bottom w:val="nil"/>
              <w:right w:val="nil"/>
            </w:tcBorders>
            <w:shd w:val="clear" w:color="000000" w:fill="FFFFFF"/>
            <w:noWrap/>
            <w:vAlign w:val="bottom"/>
            <w:hideMark/>
          </w:tcPr>
          <w:p w14:paraId="30C25035" w14:textId="77777777" w:rsidR="00B66EBE" w:rsidRPr="000B54FE" w:rsidRDefault="00B66EBE" w:rsidP="002B3022">
            <w:pPr>
              <w:rPr>
                <w:rFonts w:ascii="Arial" w:hAnsi="Arial" w:cs="Arial"/>
              </w:rPr>
            </w:pPr>
            <w:r w:rsidRPr="000B54FE">
              <w:rPr>
                <w:rFonts w:ascii="Arial" w:hAnsi="Arial" w:cs="Arial"/>
              </w:rPr>
              <w:t>60%</w:t>
            </w:r>
          </w:p>
        </w:tc>
      </w:tr>
      <w:tr w:rsidR="00B66EBE" w:rsidRPr="000B54FE" w14:paraId="696E301D" w14:textId="77777777" w:rsidTr="002B3022">
        <w:trPr>
          <w:trHeight w:val="237"/>
        </w:trPr>
        <w:tc>
          <w:tcPr>
            <w:tcW w:w="1992" w:type="dxa"/>
            <w:tcBorders>
              <w:top w:val="nil"/>
              <w:left w:val="nil"/>
              <w:bottom w:val="nil"/>
              <w:right w:val="nil"/>
            </w:tcBorders>
            <w:shd w:val="clear" w:color="000000" w:fill="FFFFFF"/>
            <w:noWrap/>
            <w:vAlign w:val="bottom"/>
            <w:hideMark/>
          </w:tcPr>
          <w:p w14:paraId="70EBCCBB" w14:textId="77777777" w:rsidR="00B66EBE" w:rsidRPr="000B54FE" w:rsidRDefault="00B66EBE" w:rsidP="002B3022">
            <w:pPr>
              <w:rPr>
                <w:rFonts w:ascii="Arial" w:hAnsi="Arial" w:cs="Arial"/>
              </w:rPr>
            </w:pPr>
            <w:r w:rsidRPr="000B54FE">
              <w:rPr>
                <w:rFonts w:ascii="Arial" w:hAnsi="Arial" w:cs="Arial"/>
              </w:rPr>
              <w:t>Lower Middle</w:t>
            </w:r>
          </w:p>
        </w:tc>
        <w:tc>
          <w:tcPr>
            <w:tcW w:w="1004" w:type="dxa"/>
            <w:tcBorders>
              <w:top w:val="nil"/>
              <w:left w:val="nil"/>
              <w:bottom w:val="nil"/>
              <w:right w:val="nil"/>
            </w:tcBorders>
            <w:shd w:val="clear" w:color="000000" w:fill="FFFFFF"/>
            <w:noWrap/>
            <w:vAlign w:val="bottom"/>
            <w:hideMark/>
          </w:tcPr>
          <w:p w14:paraId="211A1420" w14:textId="77777777" w:rsidR="00B66EBE" w:rsidRPr="000B54FE" w:rsidRDefault="00B66EBE" w:rsidP="002B3022">
            <w:pPr>
              <w:rPr>
                <w:rFonts w:ascii="Arial" w:hAnsi="Arial" w:cs="Arial"/>
              </w:rPr>
            </w:pPr>
          </w:p>
        </w:tc>
        <w:tc>
          <w:tcPr>
            <w:tcW w:w="1391" w:type="dxa"/>
            <w:tcBorders>
              <w:top w:val="nil"/>
              <w:left w:val="nil"/>
              <w:bottom w:val="nil"/>
              <w:right w:val="nil"/>
            </w:tcBorders>
            <w:shd w:val="clear" w:color="000000" w:fill="FFFFFF"/>
            <w:noWrap/>
            <w:vAlign w:val="bottom"/>
            <w:hideMark/>
          </w:tcPr>
          <w:p w14:paraId="0082E293" w14:textId="77777777" w:rsidR="00B66EBE" w:rsidRPr="000B54FE" w:rsidRDefault="00B66EBE" w:rsidP="002B3022">
            <w:pPr>
              <w:rPr>
                <w:rFonts w:ascii="Arial" w:hAnsi="Arial" w:cs="Arial"/>
              </w:rPr>
            </w:pPr>
            <w:r w:rsidRPr="000B54FE">
              <w:rPr>
                <w:rFonts w:ascii="Arial" w:hAnsi="Arial" w:cs="Arial"/>
              </w:rPr>
              <w:t>27</w:t>
            </w:r>
          </w:p>
        </w:tc>
        <w:tc>
          <w:tcPr>
            <w:tcW w:w="1849" w:type="dxa"/>
            <w:tcBorders>
              <w:top w:val="nil"/>
              <w:left w:val="nil"/>
              <w:bottom w:val="nil"/>
              <w:right w:val="nil"/>
            </w:tcBorders>
            <w:shd w:val="clear" w:color="000000" w:fill="FFFFFF"/>
            <w:noWrap/>
            <w:vAlign w:val="bottom"/>
            <w:hideMark/>
          </w:tcPr>
          <w:p w14:paraId="383AD7CD" w14:textId="77777777" w:rsidR="00B66EBE" w:rsidRPr="000B54FE" w:rsidRDefault="00B66EBE" w:rsidP="002B3022">
            <w:pPr>
              <w:rPr>
                <w:rFonts w:ascii="Arial" w:hAnsi="Arial" w:cs="Arial"/>
              </w:rPr>
            </w:pPr>
            <w:r w:rsidRPr="000B54FE">
              <w:rPr>
                <w:rFonts w:ascii="Arial" w:hAnsi="Arial" w:cs="Arial"/>
              </w:rPr>
              <w:t>42</w:t>
            </w:r>
          </w:p>
        </w:tc>
        <w:tc>
          <w:tcPr>
            <w:tcW w:w="1388" w:type="dxa"/>
            <w:tcBorders>
              <w:top w:val="nil"/>
              <w:left w:val="nil"/>
              <w:bottom w:val="nil"/>
              <w:right w:val="nil"/>
            </w:tcBorders>
            <w:shd w:val="clear" w:color="000000" w:fill="FFFFFF"/>
            <w:noWrap/>
            <w:vAlign w:val="bottom"/>
            <w:hideMark/>
          </w:tcPr>
          <w:p w14:paraId="4475A85E" w14:textId="77777777" w:rsidR="00B66EBE" w:rsidRPr="000B54FE" w:rsidRDefault="00B66EBE" w:rsidP="002B3022">
            <w:pPr>
              <w:rPr>
                <w:rFonts w:ascii="Arial" w:hAnsi="Arial" w:cs="Arial"/>
              </w:rPr>
            </w:pPr>
            <w:r w:rsidRPr="000B54FE">
              <w:rPr>
                <w:rFonts w:ascii="Arial" w:hAnsi="Arial" w:cs="Arial"/>
              </w:rPr>
              <w:t>39%</w:t>
            </w:r>
          </w:p>
        </w:tc>
        <w:tc>
          <w:tcPr>
            <w:tcW w:w="1852" w:type="dxa"/>
            <w:tcBorders>
              <w:top w:val="nil"/>
              <w:left w:val="nil"/>
              <w:bottom w:val="nil"/>
              <w:right w:val="nil"/>
            </w:tcBorders>
            <w:shd w:val="clear" w:color="000000" w:fill="FFFFFF"/>
            <w:noWrap/>
            <w:vAlign w:val="bottom"/>
            <w:hideMark/>
          </w:tcPr>
          <w:p w14:paraId="70C8FBBB" w14:textId="77777777" w:rsidR="00B66EBE" w:rsidRPr="000B54FE" w:rsidRDefault="00B66EBE" w:rsidP="002B3022">
            <w:pPr>
              <w:rPr>
                <w:rFonts w:ascii="Arial" w:hAnsi="Arial" w:cs="Arial"/>
              </w:rPr>
            </w:pPr>
            <w:r w:rsidRPr="000B54FE">
              <w:rPr>
                <w:rFonts w:ascii="Arial" w:hAnsi="Arial" w:cs="Arial"/>
              </w:rPr>
              <w:t>61%</w:t>
            </w:r>
          </w:p>
        </w:tc>
      </w:tr>
      <w:tr w:rsidR="00B66EBE" w:rsidRPr="000B54FE" w14:paraId="0D1264B6" w14:textId="77777777" w:rsidTr="002B3022">
        <w:trPr>
          <w:trHeight w:val="237"/>
        </w:trPr>
        <w:tc>
          <w:tcPr>
            <w:tcW w:w="1992" w:type="dxa"/>
            <w:tcBorders>
              <w:top w:val="nil"/>
              <w:left w:val="nil"/>
              <w:bottom w:val="nil"/>
              <w:right w:val="nil"/>
            </w:tcBorders>
            <w:shd w:val="clear" w:color="000000" w:fill="FFFFFF"/>
            <w:noWrap/>
            <w:vAlign w:val="bottom"/>
            <w:hideMark/>
          </w:tcPr>
          <w:p w14:paraId="4338BA0D" w14:textId="77777777" w:rsidR="00B66EBE" w:rsidRPr="000B54FE" w:rsidRDefault="00B66EBE" w:rsidP="002B3022">
            <w:pPr>
              <w:rPr>
                <w:rFonts w:ascii="Arial" w:hAnsi="Arial" w:cs="Arial"/>
              </w:rPr>
            </w:pPr>
            <w:r w:rsidRPr="000B54FE">
              <w:rPr>
                <w:rFonts w:ascii="Arial" w:hAnsi="Arial" w:cs="Arial"/>
              </w:rPr>
              <w:t>Upper Middle</w:t>
            </w:r>
          </w:p>
        </w:tc>
        <w:tc>
          <w:tcPr>
            <w:tcW w:w="1004" w:type="dxa"/>
            <w:tcBorders>
              <w:top w:val="nil"/>
              <w:left w:val="nil"/>
              <w:bottom w:val="nil"/>
              <w:right w:val="nil"/>
            </w:tcBorders>
            <w:shd w:val="clear" w:color="000000" w:fill="FFFFFF"/>
            <w:noWrap/>
            <w:vAlign w:val="bottom"/>
            <w:hideMark/>
          </w:tcPr>
          <w:p w14:paraId="724665AD" w14:textId="77777777" w:rsidR="00B66EBE" w:rsidRPr="000B54FE" w:rsidRDefault="00B66EBE" w:rsidP="002B3022">
            <w:pPr>
              <w:rPr>
                <w:rFonts w:ascii="Arial" w:hAnsi="Arial" w:cs="Arial"/>
              </w:rPr>
            </w:pPr>
          </w:p>
        </w:tc>
        <w:tc>
          <w:tcPr>
            <w:tcW w:w="1391" w:type="dxa"/>
            <w:tcBorders>
              <w:top w:val="nil"/>
              <w:left w:val="nil"/>
              <w:bottom w:val="nil"/>
              <w:right w:val="nil"/>
            </w:tcBorders>
            <w:shd w:val="clear" w:color="000000" w:fill="FFFFFF"/>
            <w:noWrap/>
            <w:vAlign w:val="bottom"/>
            <w:hideMark/>
          </w:tcPr>
          <w:p w14:paraId="11B79FB4" w14:textId="77777777" w:rsidR="00B66EBE" w:rsidRPr="000B54FE" w:rsidRDefault="00B66EBE" w:rsidP="002B3022">
            <w:pPr>
              <w:rPr>
                <w:rFonts w:ascii="Arial" w:hAnsi="Arial" w:cs="Arial"/>
              </w:rPr>
            </w:pPr>
            <w:r w:rsidRPr="000B54FE">
              <w:rPr>
                <w:rFonts w:ascii="Arial" w:hAnsi="Arial" w:cs="Arial"/>
              </w:rPr>
              <w:t>27</w:t>
            </w:r>
          </w:p>
        </w:tc>
        <w:tc>
          <w:tcPr>
            <w:tcW w:w="1849" w:type="dxa"/>
            <w:tcBorders>
              <w:top w:val="nil"/>
              <w:left w:val="nil"/>
              <w:bottom w:val="nil"/>
              <w:right w:val="nil"/>
            </w:tcBorders>
            <w:shd w:val="clear" w:color="000000" w:fill="FFFFFF"/>
            <w:noWrap/>
            <w:vAlign w:val="bottom"/>
            <w:hideMark/>
          </w:tcPr>
          <w:p w14:paraId="4C7667A0" w14:textId="77777777" w:rsidR="00B66EBE" w:rsidRPr="000B54FE" w:rsidRDefault="00B66EBE" w:rsidP="002B3022">
            <w:pPr>
              <w:rPr>
                <w:rFonts w:ascii="Arial" w:hAnsi="Arial" w:cs="Arial"/>
              </w:rPr>
            </w:pPr>
            <w:r w:rsidRPr="000B54FE">
              <w:rPr>
                <w:rFonts w:ascii="Arial" w:hAnsi="Arial" w:cs="Arial"/>
              </w:rPr>
              <w:t>43</w:t>
            </w:r>
          </w:p>
        </w:tc>
        <w:tc>
          <w:tcPr>
            <w:tcW w:w="1388" w:type="dxa"/>
            <w:tcBorders>
              <w:top w:val="nil"/>
              <w:left w:val="nil"/>
              <w:bottom w:val="nil"/>
              <w:right w:val="nil"/>
            </w:tcBorders>
            <w:shd w:val="clear" w:color="000000" w:fill="FFFFFF"/>
            <w:noWrap/>
            <w:vAlign w:val="bottom"/>
            <w:hideMark/>
          </w:tcPr>
          <w:p w14:paraId="7572378B" w14:textId="77777777" w:rsidR="00B66EBE" w:rsidRPr="000B54FE" w:rsidRDefault="00B66EBE" w:rsidP="002B3022">
            <w:pPr>
              <w:rPr>
                <w:rFonts w:ascii="Arial" w:hAnsi="Arial" w:cs="Arial"/>
              </w:rPr>
            </w:pPr>
            <w:r w:rsidRPr="000B54FE">
              <w:rPr>
                <w:rFonts w:ascii="Arial" w:hAnsi="Arial" w:cs="Arial"/>
              </w:rPr>
              <w:t>39%</w:t>
            </w:r>
          </w:p>
        </w:tc>
        <w:tc>
          <w:tcPr>
            <w:tcW w:w="1852" w:type="dxa"/>
            <w:tcBorders>
              <w:top w:val="nil"/>
              <w:left w:val="nil"/>
              <w:bottom w:val="nil"/>
              <w:right w:val="nil"/>
            </w:tcBorders>
            <w:shd w:val="clear" w:color="000000" w:fill="FFFFFF"/>
            <w:noWrap/>
            <w:vAlign w:val="bottom"/>
            <w:hideMark/>
          </w:tcPr>
          <w:p w14:paraId="39C9C835" w14:textId="77777777" w:rsidR="00B66EBE" w:rsidRPr="000B54FE" w:rsidRDefault="00B66EBE" w:rsidP="002B3022">
            <w:pPr>
              <w:rPr>
                <w:rFonts w:ascii="Arial" w:hAnsi="Arial" w:cs="Arial"/>
              </w:rPr>
            </w:pPr>
            <w:r w:rsidRPr="000B54FE">
              <w:rPr>
                <w:rFonts w:ascii="Arial" w:hAnsi="Arial" w:cs="Arial"/>
              </w:rPr>
              <w:t>61%</w:t>
            </w:r>
          </w:p>
        </w:tc>
      </w:tr>
      <w:tr w:rsidR="00B66EBE" w:rsidRPr="000B54FE" w14:paraId="363C14E2" w14:textId="77777777" w:rsidTr="002B3022">
        <w:trPr>
          <w:trHeight w:val="237"/>
        </w:trPr>
        <w:tc>
          <w:tcPr>
            <w:tcW w:w="1992" w:type="dxa"/>
            <w:tcBorders>
              <w:top w:val="nil"/>
              <w:left w:val="nil"/>
              <w:bottom w:val="nil"/>
              <w:right w:val="nil"/>
            </w:tcBorders>
            <w:shd w:val="clear" w:color="000000" w:fill="FFFFFF"/>
            <w:noWrap/>
            <w:vAlign w:val="bottom"/>
            <w:hideMark/>
          </w:tcPr>
          <w:p w14:paraId="15AE4A39" w14:textId="77777777" w:rsidR="00B66EBE" w:rsidRPr="000B54FE" w:rsidRDefault="00B66EBE" w:rsidP="002B3022">
            <w:pPr>
              <w:rPr>
                <w:rFonts w:ascii="Arial" w:hAnsi="Arial" w:cs="Arial"/>
              </w:rPr>
            </w:pPr>
            <w:r w:rsidRPr="000B54FE">
              <w:rPr>
                <w:rFonts w:ascii="Arial" w:hAnsi="Arial" w:cs="Arial"/>
              </w:rPr>
              <w:t xml:space="preserve">Upper </w:t>
            </w:r>
          </w:p>
        </w:tc>
        <w:tc>
          <w:tcPr>
            <w:tcW w:w="1004" w:type="dxa"/>
            <w:tcBorders>
              <w:top w:val="nil"/>
              <w:left w:val="nil"/>
              <w:bottom w:val="nil"/>
              <w:right w:val="nil"/>
            </w:tcBorders>
            <w:shd w:val="clear" w:color="000000" w:fill="FFFFFF"/>
            <w:noWrap/>
            <w:vAlign w:val="bottom"/>
            <w:hideMark/>
          </w:tcPr>
          <w:p w14:paraId="5A6237B5" w14:textId="77777777" w:rsidR="00B66EBE" w:rsidRPr="000B54FE" w:rsidRDefault="00B66EBE" w:rsidP="002B3022">
            <w:pPr>
              <w:rPr>
                <w:rFonts w:ascii="Arial" w:hAnsi="Arial" w:cs="Arial"/>
              </w:rPr>
            </w:pPr>
          </w:p>
        </w:tc>
        <w:tc>
          <w:tcPr>
            <w:tcW w:w="1391" w:type="dxa"/>
            <w:tcBorders>
              <w:top w:val="nil"/>
              <w:left w:val="nil"/>
              <w:bottom w:val="single" w:sz="4" w:space="0" w:color="auto"/>
              <w:right w:val="nil"/>
            </w:tcBorders>
            <w:shd w:val="clear" w:color="000000" w:fill="FFFFFF"/>
            <w:noWrap/>
            <w:vAlign w:val="bottom"/>
            <w:hideMark/>
          </w:tcPr>
          <w:p w14:paraId="05001424" w14:textId="77777777" w:rsidR="00B66EBE" w:rsidRPr="000B54FE" w:rsidRDefault="00B66EBE" w:rsidP="002B3022">
            <w:pPr>
              <w:rPr>
                <w:rFonts w:ascii="Arial" w:hAnsi="Arial" w:cs="Arial"/>
              </w:rPr>
            </w:pPr>
            <w:r w:rsidRPr="000B54FE">
              <w:rPr>
                <w:rFonts w:ascii="Arial" w:hAnsi="Arial" w:cs="Arial"/>
              </w:rPr>
              <w:t>27</w:t>
            </w:r>
          </w:p>
        </w:tc>
        <w:tc>
          <w:tcPr>
            <w:tcW w:w="1849" w:type="dxa"/>
            <w:tcBorders>
              <w:top w:val="nil"/>
              <w:left w:val="nil"/>
              <w:bottom w:val="single" w:sz="4" w:space="0" w:color="auto"/>
              <w:right w:val="nil"/>
            </w:tcBorders>
            <w:shd w:val="clear" w:color="000000" w:fill="FFFFFF"/>
            <w:noWrap/>
            <w:vAlign w:val="bottom"/>
            <w:hideMark/>
          </w:tcPr>
          <w:p w14:paraId="6F116671" w14:textId="77777777" w:rsidR="00B66EBE" w:rsidRPr="000B54FE" w:rsidRDefault="00B66EBE" w:rsidP="002B3022">
            <w:pPr>
              <w:rPr>
                <w:rFonts w:ascii="Arial" w:hAnsi="Arial" w:cs="Arial"/>
              </w:rPr>
            </w:pPr>
            <w:r w:rsidRPr="000B54FE">
              <w:rPr>
                <w:rFonts w:ascii="Arial" w:hAnsi="Arial" w:cs="Arial"/>
              </w:rPr>
              <w:t>42</w:t>
            </w:r>
          </w:p>
        </w:tc>
        <w:tc>
          <w:tcPr>
            <w:tcW w:w="1388" w:type="dxa"/>
            <w:tcBorders>
              <w:top w:val="nil"/>
              <w:left w:val="nil"/>
              <w:bottom w:val="nil"/>
              <w:right w:val="nil"/>
            </w:tcBorders>
            <w:shd w:val="clear" w:color="000000" w:fill="FFFFFF"/>
            <w:noWrap/>
            <w:vAlign w:val="bottom"/>
            <w:hideMark/>
          </w:tcPr>
          <w:p w14:paraId="0993F431" w14:textId="77777777" w:rsidR="00B66EBE" w:rsidRPr="000B54FE" w:rsidRDefault="00B66EBE" w:rsidP="002B3022">
            <w:pPr>
              <w:rPr>
                <w:rFonts w:ascii="Arial" w:hAnsi="Arial" w:cs="Arial"/>
              </w:rPr>
            </w:pPr>
            <w:r w:rsidRPr="000B54FE">
              <w:rPr>
                <w:rFonts w:ascii="Arial" w:hAnsi="Arial" w:cs="Arial"/>
              </w:rPr>
              <w:t>39%</w:t>
            </w:r>
          </w:p>
        </w:tc>
        <w:tc>
          <w:tcPr>
            <w:tcW w:w="1852" w:type="dxa"/>
            <w:tcBorders>
              <w:top w:val="nil"/>
              <w:left w:val="nil"/>
              <w:bottom w:val="nil"/>
              <w:right w:val="nil"/>
            </w:tcBorders>
            <w:shd w:val="clear" w:color="000000" w:fill="FFFFFF"/>
            <w:noWrap/>
            <w:vAlign w:val="bottom"/>
            <w:hideMark/>
          </w:tcPr>
          <w:p w14:paraId="0C0BA816" w14:textId="77777777" w:rsidR="00B66EBE" w:rsidRPr="000B54FE" w:rsidRDefault="00B66EBE" w:rsidP="002B3022">
            <w:pPr>
              <w:rPr>
                <w:rFonts w:ascii="Arial" w:hAnsi="Arial" w:cs="Arial"/>
              </w:rPr>
            </w:pPr>
            <w:r w:rsidRPr="000B54FE">
              <w:rPr>
                <w:rFonts w:ascii="Arial" w:hAnsi="Arial" w:cs="Arial"/>
              </w:rPr>
              <w:t>61%</w:t>
            </w:r>
          </w:p>
        </w:tc>
      </w:tr>
      <w:tr w:rsidR="00B66EBE" w:rsidRPr="000B54FE" w14:paraId="4320BB7C" w14:textId="77777777" w:rsidTr="002B3022">
        <w:trPr>
          <w:trHeight w:val="237"/>
        </w:trPr>
        <w:tc>
          <w:tcPr>
            <w:tcW w:w="1992" w:type="dxa"/>
            <w:tcBorders>
              <w:top w:val="nil"/>
              <w:left w:val="nil"/>
              <w:bottom w:val="nil"/>
              <w:right w:val="nil"/>
            </w:tcBorders>
            <w:shd w:val="clear" w:color="000000" w:fill="FFFFFF"/>
            <w:noWrap/>
            <w:vAlign w:val="bottom"/>
            <w:hideMark/>
          </w:tcPr>
          <w:p w14:paraId="39F9E11E" w14:textId="77777777" w:rsidR="00B66EBE" w:rsidRPr="000B54FE" w:rsidRDefault="00B66EBE" w:rsidP="002B3022">
            <w:pPr>
              <w:rPr>
                <w:rFonts w:ascii="Arial" w:hAnsi="Arial" w:cs="Arial"/>
              </w:rPr>
            </w:pPr>
          </w:p>
        </w:tc>
        <w:tc>
          <w:tcPr>
            <w:tcW w:w="1004" w:type="dxa"/>
            <w:tcBorders>
              <w:top w:val="nil"/>
              <w:left w:val="nil"/>
              <w:bottom w:val="nil"/>
              <w:right w:val="nil"/>
            </w:tcBorders>
            <w:shd w:val="clear" w:color="000000" w:fill="FFFFFF"/>
            <w:noWrap/>
            <w:vAlign w:val="bottom"/>
            <w:hideMark/>
          </w:tcPr>
          <w:p w14:paraId="423E0C85" w14:textId="77777777" w:rsidR="00B66EBE" w:rsidRPr="000B54FE" w:rsidRDefault="00B66EBE" w:rsidP="002B3022">
            <w:pPr>
              <w:rPr>
                <w:rFonts w:ascii="Arial" w:hAnsi="Arial" w:cs="Arial"/>
              </w:rPr>
            </w:pPr>
          </w:p>
        </w:tc>
        <w:tc>
          <w:tcPr>
            <w:tcW w:w="1391" w:type="dxa"/>
            <w:tcBorders>
              <w:top w:val="nil"/>
              <w:left w:val="nil"/>
              <w:bottom w:val="nil"/>
              <w:right w:val="nil"/>
            </w:tcBorders>
            <w:shd w:val="clear" w:color="000000" w:fill="FFFFFF"/>
            <w:noWrap/>
            <w:vAlign w:val="bottom"/>
            <w:hideMark/>
          </w:tcPr>
          <w:p w14:paraId="6173353D" w14:textId="77777777" w:rsidR="00B66EBE" w:rsidRPr="000B54FE" w:rsidRDefault="00B66EBE" w:rsidP="002B3022">
            <w:pPr>
              <w:rPr>
                <w:rFonts w:ascii="Arial" w:hAnsi="Arial" w:cs="Arial"/>
              </w:rPr>
            </w:pPr>
            <w:r w:rsidRPr="000B54FE">
              <w:rPr>
                <w:rFonts w:ascii="Arial" w:hAnsi="Arial" w:cs="Arial"/>
              </w:rPr>
              <w:t>109</w:t>
            </w:r>
          </w:p>
        </w:tc>
        <w:tc>
          <w:tcPr>
            <w:tcW w:w="1849" w:type="dxa"/>
            <w:tcBorders>
              <w:top w:val="nil"/>
              <w:left w:val="nil"/>
              <w:bottom w:val="nil"/>
              <w:right w:val="nil"/>
            </w:tcBorders>
            <w:shd w:val="clear" w:color="000000" w:fill="FFFFFF"/>
            <w:noWrap/>
            <w:vAlign w:val="bottom"/>
            <w:hideMark/>
          </w:tcPr>
          <w:p w14:paraId="1BCE46B8" w14:textId="77777777" w:rsidR="00B66EBE" w:rsidRPr="000B54FE" w:rsidRDefault="00B66EBE" w:rsidP="002B3022">
            <w:pPr>
              <w:rPr>
                <w:rFonts w:ascii="Arial" w:hAnsi="Arial" w:cs="Arial"/>
              </w:rPr>
            </w:pPr>
            <w:r w:rsidRPr="000B54FE">
              <w:rPr>
                <w:rFonts w:ascii="Arial" w:hAnsi="Arial" w:cs="Arial"/>
              </w:rPr>
              <w:t>169</w:t>
            </w:r>
          </w:p>
        </w:tc>
        <w:tc>
          <w:tcPr>
            <w:tcW w:w="1388" w:type="dxa"/>
            <w:tcBorders>
              <w:top w:val="single" w:sz="4" w:space="0" w:color="auto"/>
              <w:left w:val="nil"/>
              <w:bottom w:val="nil"/>
              <w:right w:val="nil"/>
            </w:tcBorders>
            <w:shd w:val="clear" w:color="000000" w:fill="FFFFFF"/>
            <w:noWrap/>
            <w:vAlign w:val="bottom"/>
            <w:hideMark/>
          </w:tcPr>
          <w:p w14:paraId="537BC75A" w14:textId="77777777" w:rsidR="00B66EBE" w:rsidRPr="000B54FE" w:rsidRDefault="00B66EBE" w:rsidP="002B3022">
            <w:pPr>
              <w:rPr>
                <w:rFonts w:ascii="Arial" w:hAnsi="Arial" w:cs="Arial"/>
              </w:rPr>
            </w:pPr>
          </w:p>
        </w:tc>
        <w:tc>
          <w:tcPr>
            <w:tcW w:w="1852" w:type="dxa"/>
            <w:tcBorders>
              <w:top w:val="single" w:sz="4" w:space="0" w:color="auto"/>
              <w:left w:val="nil"/>
              <w:bottom w:val="nil"/>
              <w:right w:val="nil"/>
            </w:tcBorders>
            <w:shd w:val="clear" w:color="000000" w:fill="FFFFFF"/>
            <w:noWrap/>
            <w:vAlign w:val="bottom"/>
            <w:hideMark/>
          </w:tcPr>
          <w:p w14:paraId="4E9B9E9D" w14:textId="77777777" w:rsidR="00B66EBE" w:rsidRPr="000B54FE" w:rsidRDefault="00B66EBE" w:rsidP="002B3022">
            <w:pPr>
              <w:rPr>
                <w:rFonts w:ascii="Arial" w:hAnsi="Arial" w:cs="Arial"/>
              </w:rPr>
            </w:pPr>
          </w:p>
        </w:tc>
      </w:tr>
      <w:tr w:rsidR="00B66EBE" w:rsidRPr="000B54FE" w14:paraId="19AA5CCC" w14:textId="77777777" w:rsidTr="002B3022">
        <w:trPr>
          <w:trHeight w:val="237"/>
        </w:trPr>
        <w:tc>
          <w:tcPr>
            <w:tcW w:w="1992" w:type="dxa"/>
            <w:tcBorders>
              <w:top w:val="nil"/>
              <w:left w:val="nil"/>
              <w:bottom w:val="nil"/>
              <w:right w:val="nil"/>
            </w:tcBorders>
            <w:noWrap/>
            <w:vAlign w:val="bottom"/>
            <w:hideMark/>
          </w:tcPr>
          <w:p w14:paraId="59C564B4" w14:textId="77777777" w:rsidR="00B66EBE" w:rsidRPr="000B54FE" w:rsidRDefault="00B66EBE" w:rsidP="002B3022">
            <w:pPr>
              <w:rPr>
                <w:rFonts w:ascii="Arial" w:hAnsi="Arial" w:cs="Arial"/>
                <w:b/>
                <w:bCs/>
              </w:rPr>
            </w:pPr>
          </w:p>
        </w:tc>
        <w:tc>
          <w:tcPr>
            <w:tcW w:w="2395" w:type="dxa"/>
            <w:gridSpan w:val="2"/>
            <w:tcBorders>
              <w:top w:val="nil"/>
              <w:left w:val="nil"/>
              <w:bottom w:val="nil"/>
              <w:right w:val="nil"/>
            </w:tcBorders>
            <w:noWrap/>
            <w:vAlign w:val="bottom"/>
            <w:hideMark/>
          </w:tcPr>
          <w:p w14:paraId="04B5335F" w14:textId="77777777" w:rsidR="00B66EBE" w:rsidRPr="000B54FE" w:rsidRDefault="00B66EBE" w:rsidP="002B3022">
            <w:pPr>
              <w:rPr>
                <w:rFonts w:ascii="Arial" w:hAnsi="Arial" w:cs="Arial"/>
                <w:b/>
                <w:bCs/>
              </w:rPr>
            </w:pPr>
          </w:p>
        </w:tc>
        <w:tc>
          <w:tcPr>
            <w:tcW w:w="1849" w:type="dxa"/>
            <w:tcBorders>
              <w:top w:val="nil"/>
              <w:left w:val="nil"/>
              <w:bottom w:val="nil"/>
              <w:right w:val="nil"/>
            </w:tcBorders>
            <w:noWrap/>
            <w:vAlign w:val="bottom"/>
            <w:hideMark/>
          </w:tcPr>
          <w:p w14:paraId="36807F28" w14:textId="77777777" w:rsidR="00B66EBE" w:rsidRPr="000B54FE" w:rsidRDefault="00B66EBE" w:rsidP="002B3022">
            <w:pPr>
              <w:rPr>
                <w:rFonts w:ascii="Arial" w:hAnsi="Arial" w:cs="Arial"/>
                <w:b/>
                <w:bCs/>
              </w:rPr>
            </w:pPr>
          </w:p>
        </w:tc>
        <w:tc>
          <w:tcPr>
            <w:tcW w:w="1388" w:type="dxa"/>
            <w:tcBorders>
              <w:top w:val="nil"/>
              <w:left w:val="nil"/>
              <w:bottom w:val="nil"/>
              <w:right w:val="nil"/>
            </w:tcBorders>
            <w:noWrap/>
            <w:vAlign w:val="bottom"/>
            <w:hideMark/>
          </w:tcPr>
          <w:p w14:paraId="7A9AEB7B" w14:textId="77777777" w:rsidR="00B66EBE" w:rsidRPr="000B54FE" w:rsidRDefault="00B66EBE" w:rsidP="002B3022">
            <w:pPr>
              <w:rPr>
                <w:rFonts w:ascii="Arial" w:hAnsi="Arial" w:cs="Arial"/>
                <w:b/>
                <w:bCs/>
              </w:rPr>
            </w:pPr>
          </w:p>
        </w:tc>
        <w:tc>
          <w:tcPr>
            <w:tcW w:w="1852" w:type="dxa"/>
            <w:tcBorders>
              <w:top w:val="nil"/>
              <w:left w:val="nil"/>
              <w:bottom w:val="nil"/>
              <w:right w:val="nil"/>
            </w:tcBorders>
            <w:noWrap/>
            <w:vAlign w:val="bottom"/>
            <w:hideMark/>
          </w:tcPr>
          <w:p w14:paraId="2448D89A" w14:textId="77777777" w:rsidR="00B66EBE" w:rsidRPr="000B54FE" w:rsidRDefault="00B66EBE" w:rsidP="002B3022">
            <w:pPr>
              <w:rPr>
                <w:rFonts w:ascii="Arial" w:hAnsi="Arial" w:cs="Arial"/>
                <w:b/>
                <w:bCs/>
              </w:rPr>
            </w:pPr>
          </w:p>
        </w:tc>
      </w:tr>
    </w:tbl>
    <w:p w14:paraId="37B6B136" w14:textId="77777777" w:rsidR="00B66EBE" w:rsidRDefault="00B66EBE" w:rsidP="00B66EBE">
      <w:pPr>
        <w:pStyle w:val="NormalWeb"/>
        <w:shd w:val="clear" w:color="auto" w:fill="FFFFFF"/>
        <w:spacing w:before="0" w:beforeAutospacing="0"/>
        <w:rPr>
          <w:rFonts w:ascii="Arial" w:hAnsi="Arial" w:cs="Arial"/>
          <w:color w:val="212529"/>
        </w:rPr>
      </w:pPr>
    </w:p>
    <w:p w14:paraId="76B939CF" w14:textId="77777777" w:rsidR="00B66EBE" w:rsidRPr="005F075C" w:rsidRDefault="00B66EBE" w:rsidP="00B66EBE">
      <w:pPr>
        <w:pStyle w:val="NormalWeb"/>
        <w:shd w:val="clear" w:color="auto" w:fill="FFFFFF"/>
        <w:spacing w:before="0" w:beforeAutospacing="0"/>
        <w:rPr>
          <w:rFonts w:ascii="Arial" w:hAnsi="Arial" w:cs="Arial"/>
          <w:color w:val="212529"/>
        </w:rPr>
      </w:pPr>
      <w:r w:rsidRPr="005F075C">
        <w:rPr>
          <w:rFonts w:ascii="Arial" w:hAnsi="Arial" w:cs="Arial"/>
          <w:color w:val="212529"/>
        </w:rPr>
        <w:t>In relation to pay quartiles, women represent well over 50% in each quartile. We are committed to ensuring that men and women are paid fairly and equally for the same or similar roles.</w:t>
      </w:r>
    </w:p>
    <w:p w14:paraId="1A4332B9" w14:textId="43102EE7" w:rsidR="000A0E9E" w:rsidRPr="008A42AB" w:rsidRDefault="00B66EBE" w:rsidP="008A42AB">
      <w:pPr>
        <w:pStyle w:val="NormalWeb"/>
        <w:shd w:val="clear" w:color="auto" w:fill="FFFFFF"/>
        <w:spacing w:before="0" w:beforeAutospacing="0"/>
        <w:rPr>
          <w:rFonts w:ascii="Arial" w:hAnsi="Arial" w:cs="Arial"/>
          <w:color w:val="212529"/>
        </w:rPr>
      </w:pPr>
      <w:r w:rsidRPr="005F075C">
        <w:rPr>
          <w:rFonts w:ascii="Arial" w:hAnsi="Arial" w:cs="Arial"/>
          <w:color w:val="212529"/>
        </w:rPr>
        <w:t>Partners for Inclusion Group does not pay bonuses and therefore has no figures in relation to mean or median bonus pay gaps or the proportion of males and females receiving a bonus payment.</w:t>
      </w:r>
    </w:p>
    <w:p w14:paraId="063B7B7B" w14:textId="77777777" w:rsidR="000A0E9E" w:rsidRPr="00036040" w:rsidRDefault="000A0E9E" w:rsidP="00A57015">
      <w:pPr>
        <w:spacing w:after="0"/>
        <w:rPr>
          <w:rFonts w:ascii="Arial" w:hAnsi="Arial" w:cs="Arial"/>
        </w:rPr>
      </w:pPr>
    </w:p>
    <w:sectPr w:rsidR="000A0E9E" w:rsidRPr="00036040" w:rsidSect="00791F58">
      <w:headerReference w:type="default" r:id="rId12"/>
      <w:footerReference w:type="default" r:id="rId13"/>
      <w:pgSz w:w="11906" w:h="16838"/>
      <w:pgMar w:top="1134" w:right="1304" w:bottom="1134" w:left="1304" w:header="340" w:footer="340" w:gutter="0"/>
      <w:pgBorders w:offsetFrom="page">
        <w:top w:val="thinThickSmallGap" w:sz="24" w:space="24" w:color="153D63" w:themeColor="text2" w:themeTint="E6"/>
        <w:left w:val="thinThickSmallGap" w:sz="24" w:space="24" w:color="153D63" w:themeColor="text2" w:themeTint="E6"/>
        <w:bottom w:val="thickThinSmallGap" w:sz="24" w:space="24" w:color="153D63" w:themeColor="text2" w:themeTint="E6"/>
        <w:right w:val="thickThinSmallGap" w:sz="24" w:space="24" w:color="153D63" w:themeColor="text2" w:themeTint="E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EA722" w14:textId="77777777" w:rsidR="00E011FE" w:rsidRDefault="00E011FE" w:rsidP="006D4127">
      <w:pPr>
        <w:spacing w:after="0" w:line="240" w:lineRule="auto"/>
      </w:pPr>
      <w:r>
        <w:separator/>
      </w:r>
    </w:p>
  </w:endnote>
  <w:endnote w:type="continuationSeparator" w:id="0">
    <w:p w14:paraId="6CFC96FF" w14:textId="77777777" w:rsidR="00E011FE" w:rsidRDefault="00E011FE" w:rsidP="006D4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076134"/>
      <w:docPartObj>
        <w:docPartGallery w:val="Page Numbers (Bottom of Page)"/>
        <w:docPartUnique/>
      </w:docPartObj>
    </w:sdtPr>
    <w:sdtContent>
      <w:p w14:paraId="3D326425" w14:textId="3B6E24AC" w:rsidR="006D4127" w:rsidRDefault="00B94562">
        <w:pPr>
          <w:pStyle w:val="Footer"/>
        </w:pPr>
        <w:r>
          <w:rPr>
            <w:noProof/>
          </w:rPr>
          <mc:AlternateContent>
            <mc:Choice Requires="wps">
              <w:drawing>
                <wp:anchor distT="0" distB="0" distL="114300" distR="114300" simplePos="0" relativeHeight="251660288" behindDoc="0" locked="0" layoutInCell="1" allowOverlap="1" wp14:anchorId="1573BC61" wp14:editId="6B46757F">
                  <wp:simplePos x="0" y="0"/>
                  <wp:positionH relativeFrom="page">
                    <wp:align>right</wp:align>
                  </wp:positionH>
                  <wp:positionV relativeFrom="page">
                    <wp:align>bottom</wp:align>
                  </wp:positionV>
                  <wp:extent cx="2125980" cy="2054860"/>
                  <wp:effectExtent l="7620" t="0" r="0" b="2540"/>
                  <wp:wrapNone/>
                  <wp:docPr id="214318640"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0E93F5" w14:textId="77777777" w:rsidR="00B94562" w:rsidRDefault="00B94562">
                              <w:pPr>
                                <w:jc w:val="center"/>
                                <w:rPr>
                                  <w:szCs w:val="72"/>
                                </w:rPr>
                              </w:pP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73BC6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116.2pt;margin-top:0;width:167.4pt;height:161.8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PEDAIAAPIDAAAOAAAAZHJzL2Uyb0RvYy54bWysU9uOEzEMfUfiH6K807moXXZHna6qliKk&#10;hUVa+IBMJnOBTByctNPy9TiZtlTwhshDZMf2sX3sLB+Pg2YHha4HU/JslnKmjIS6N23Jv37Zvbnn&#10;zHlhaqHBqJKflOOPq9evlqMtVA4d6FohIxDjitGWvPPeFkniZKcG4WZglSFjAzgITyq2SY1iJPRB&#10;J3ma3iUjYG0RpHKOXreTka8iftMo6Z+bxinPdMmpNh9vjHcV7mS1FEWLwna9PJch/qGKQfSGkl6h&#10;tsILtsf+L6ihlwgOGj+TMCTQNL1UsQfqJkv/6OalE1bFXogcZ680uf8HKz8dXuxnDKU7+wTyu2MG&#10;Np0wrVojwtgpUVO6LBCVjNYV14CgOApl1fgRahqt2HuIHBwbHAIgdceOkerTlWp19EzSY57li4d7&#10;mogkW54u5vd3cRiJKC7hFp1/r2BgQSi5x56q0oEPUYjDk/OR75oZMYTs9TfOmkHT9A5CsywNJ1Z9&#10;9SbsC2bsF3Rf73qto4JttdHIKLbk2/zdeje1TLTcumkTnA2EsMCIKMJLJCZwEdbOFf5YHckYxArq&#10;E1GEMC0efRQSOsCfnI20dCV3P/YCFWf6gyGaH7L5PGxpVOaLtzkpeGupbi3CSIIiZjibxI2fNntv&#10;sW87ypRFsgysaTRN7y8znKo6102LFRs5f4Kwubd69Pr9VVe/AAAA//8DAFBLAwQUAAYACAAAACEA&#10;WSTRB9wAAAAFAQAADwAAAGRycy9kb3ducmV2LnhtbEyPS0/DMBCE70j8B2uRuFGHBlUlxKkQ4iFR&#10;5UB5nN14iaPa68h22/DvWbjAZbWrWc18U68m78QBYxoCKbicFSCQumAG6hW8vT5cLEGkrMloFwgV&#10;fGGCVXN6UuvKhCO94GGTe8EmlCqtwOY8VlKmzqLXaRZGJNY+Q/Q68xl7aaI+srl3cl4UC+n1QJxg&#10;9Yh3FrvdZu85ZFreD9G1u/f1uH5ur9vHJzt+KHV+Nt3egMg45b9n+MFndGiYaRv2ZJJwCrhI/p2s&#10;leUV19jyMi8XIJta/qdvvgEAAP//AwBQSwECLQAUAAYACAAAACEAtoM4kv4AAADhAQAAEwAAAAAA&#10;AAAAAAAAAAAAAAAAW0NvbnRlbnRfVHlwZXNdLnhtbFBLAQItABQABgAIAAAAIQA4/SH/1gAAAJQB&#10;AAALAAAAAAAAAAAAAAAAAC8BAABfcmVscy8ucmVsc1BLAQItABQABgAIAAAAIQAZXfPEDAIAAPID&#10;AAAOAAAAAAAAAAAAAAAAAC4CAABkcnMvZTJvRG9jLnhtbFBLAQItABQABgAIAAAAIQBZJNEH3AAA&#10;AAUBAAAPAAAAAAAAAAAAAAAAAGYEAABkcnMvZG93bnJldi54bWxQSwUGAAAAAAQABADzAAAAbwUA&#10;AAAA&#10;" adj="21600" fillcolor="#d2eaf1" stroked="f">
                  <v:textbox>
                    <w:txbxContent>
                      <w:p w14:paraId="140E93F5" w14:textId="77777777" w:rsidR="00B94562" w:rsidRDefault="00B94562">
                        <w:pPr>
                          <w:jc w:val="center"/>
                          <w:rPr>
                            <w:szCs w:val="72"/>
                          </w:rPr>
                        </w:pP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F0507" w14:textId="77777777" w:rsidR="00E011FE" w:rsidRDefault="00E011FE" w:rsidP="006D4127">
      <w:pPr>
        <w:spacing w:after="0" w:line="240" w:lineRule="auto"/>
      </w:pPr>
      <w:r>
        <w:separator/>
      </w:r>
    </w:p>
  </w:footnote>
  <w:footnote w:type="continuationSeparator" w:id="0">
    <w:p w14:paraId="4D19909E" w14:textId="77777777" w:rsidR="00E011FE" w:rsidRDefault="00E011FE" w:rsidP="006D4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93258" w14:textId="1D3D2D24" w:rsidR="00705559" w:rsidRDefault="006D4127">
    <w:pPr>
      <w:pStyle w:val="Header"/>
    </w:pPr>
    <w:r>
      <w:rPr>
        <w:noProof/>
      </w:rPr>
      <w:drawing>
        <wp:anchor distT="0" distB="0" distL="114300" distR="114300" simplePos="0" relativeHeight="251658240" behindDoc="0" locked="0" layoutInCell="1" allowOverlap="1" wp14:anchorId="1D126648" wp14:editId="7558DB4D">
          <wp:simplePos x="0" y="0"/>
          <wp:positionH relativeFrom="margin">
            <wp:align>right</wp:align>
          </wp:positionH>
          <wp:positionV relativeFrom="page">
            <wp:posOffset>552450</wp:posOffset>
          </wp:positionV>
          <wp:extent cx="1000125" cy="447675"/>
          <wp:effectExtent l="0" t="0" r="9525" b="9525"/>
          <wp:wrapNone/>
          <wp:docPr id="586082259" name="Picture 1" descr="Partners for Inclu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46522" name="Picture 1" descr="Partners for Inclusion logo"/>
                  <pic:cNvPicPr/>
                </pic:nvPicPr>
                <pic:blipFill>
                  <a:blip r:embed="rId1">
                    <a:extLst>
                      <a:ext uri="{28A0092B-C50C-407E-A947-70E740481C1C}">
                        <a14:useLocalDpi xmlns:a14="http://schemas.microsoft.com/office/drawing/2010/main" val="0"/>
                      </a:ext>
                    </a:extLst>
                  </a:blip>
                  <a:stretch>
                    <a:fillRect/>
                  </a:stretch>
                </pic:blipFill>
                <pic:spPr>
                  <a:xfrm>
                    <a:off x="0" y="0"/>
                    <a:ext cx="1000125" cy="447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55E5B"/>
    <w:multiLevelType w:val="hybridMultilevel"/>
    <w:tmpl w:val="1E98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6822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97E"/>
    <w:rsid w:val="000165F3"/>
    <w:rsid w:val="000251C0"/>
    <w:rsid w:val="000348FE"/>
    <w:rsid w:val="00036040"/>
    <w:rsid w:val="000363F4"/>
    <w:rsid w:val="0004037D"/>
    <w:rsid w:val="00060B95"/>
    <w:rsid w:val="0007221D"/>
    <w:rsid w:val="00092947"/>
    <w:rsid w:val="000942B8"/>
    <w:rsid w:val="000A0E9E"/>
    <w:rsid w:val="000A25A4"/>
    <w:rsid w:val="000C73EA"/>
    <w:rsid w:val="00143FB4"/>
    <w:rsid w:val="00175127"/>
    <w:rsid w:val="001913BE"/>
    <w:rsid w:val="001F678C"/>
    <w:rsid w:val="001F7550"/>
    <w:rsid w:val="00263353"/>
    <w:rsid w:val="002865F4"/>
    <w:rsid w:val="00362800"/>
    <w:rsid w:val="003B5AB4"/>
    <w:rsid w:val="003D0C9F"/>
    <w:rsid w:val="00420386"/>
    <w:rsid w:val="004432DB"/>
    <w:rsid w:val="00472D9A"/>
    <w:rsid w:val="004D0671"/>
    <w:rsid w:val="004F3F6C"/>
    <w:rsid w:val="00511A3E"/>
    <w:rsid w:val="00550BDB"/>
    <w:rsid w:val="0056209F"/>
    <w:rsid w:val="00592742"/>
    <w:rsid w:val="005A630E"/>
    <w:rsid w:val="005B1565"/>
    <w:rsid w:val="005D1499"/>
    <w:rsid w:val="005D6300"/>
    <w:rsid w:val="0065479A"/>
    <w:rsid w:val="006662A6"/>
    <w:rsid w:val="006A4A7F"/>
    <w:rsid w:val="006D4127"/>
    <w:rsid w:val="006D6E13"/>
    <w:rsid w:val="00705559"/>
    <w:rsid w:val="00711BF7"/>
    <w:rsid w:val="00735F21"/>
    <w:rsid w:val="00764560"/>
    <w:rsid w:val="00791F58"/>
    <w:rsid w:val="007D6359"/>
    <w:rsid w:val="00850D9C"/>
    <w:rsid w:val="00876A4A"/>
    <w:rsid w:val="0087713B"/>
    <w:rsid w:val="00893AB5"/>
    <w:rsid w:val="008A42AB"/>
    <w:rsid w:val="008A7A65"/>
    <w:rsid w:val="008B5B3A"/>
    <w:rsid w:val="00900507"/>
    <w:rsid w:val="0092361D"/>
    <w:rsid w:val="0095566F"/>
    <w:rsid w:val="009833EC"/>
    <w:rsid w:val="009C2ABA"/>
    <w:rsid w:val="009C5D28"/>
    <w:rsid w:val="009D259A"/>
    <w:rsid w:val="009E08CF"/>
    <w:rsid w:val="00A06DF3"/>
    <w:rsid w:val="00A3597E"/>
    <w:rsid w:val="00A51833"/>
    <w:rsid w:val="00A57015"/>
    <w:rsid w:val="00A70A04"/>
    <w:rsid w:val="00A740F6"/>
    <w:rsid w:val="00A96B6D"/>
    <w:rsid w:val="00AB70DC"/>
    <w:rsid w:val="00AB7A7D"/>
    <w:rsid w:val="00AC5EED"/>
    <w:rsid w:val="00AD7FF7"/>
    <w:rsid w:val="00B15CC2"/>
    <w:rsid w:val="00B16D5A"/>
    <w:rsid w:val="00B338E3"/>
    <w:rsid w:val="00B44A75"/>
    <w:rsid w:val="00B534E6"/>
    <w:rsid w:val="00B66EBE"/>
    <w:rsid w:val="00B721A8"/>
    <w:rsid w:val="00B81B34"/>
    <w:rsid w:val="00B94562"/>
    <w:rsid w:val="00B94AED"/>
    <w:rsid w:val="00BC0F7F"/>
    <w:rsid w:val="00BE5801"/>
    <w:rsid w:val="00C068A4"/>
    <w:rsid w:val="00C0789E"/>
    <w:rsid w:val="00C24132"/>
    <w:rsid w:val="00C46D8F"/>
    <w:rsid w:val="00C77BEA"/>
    <w:rsid w:val="00C94C5A"/>
    <w:rsid w:val="00CC7FAE"/>
    <w:rsid w:val="00D11B9B"/>
    <w:rsid w:val="00D12C16"/>
    <w:rsid w:val="00D3554B"/>
    <w:rsid w:val="00D4591B"/>
    <w:rsid w:val="00D4787E"/>
    <w:rsid w:val="00DD6C44"/>
    <w:rsid w:val="00DE37A1"/>
    <w:rsid w:val="00DF75BC"/>
    <w:rsid w:val="00E011FE"/>
    <w:rsid w:val="00EA054F"/>
    <w:rsid w:val="00EA642C"/>
    <w:rsid w:val="00EC372C"/>
    <w:rsid w:val="00F6241C"/>
    <w:rsid w:val="00F844EB"/>
    <w:rsid w:val="00F8589D"/>
    <w:rsid w:val="00FF51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1B598"/>
  <w15:chartTrackingRefBased/>
  <w15:docId w15:val="{01A31D30-36BF-42E6-A71F-0533772C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127"/>
    <w:rPr>
      <w:rFonts w:eastAsiaTheme="majorEastAsia" w:cstheme="majorBidi"/>
      <w:color w:val="272727" w:themeColor="text1" w:themeTint="D8"/>
    </w:rPr>
  </w:style>
  <w:style w:type="paragraph" w:styleId="Title">
    <w:name w:val="Title"/>
    <w:basedOn w:val="Normal"/>
    <w:next w:val="Normal"/>
    <w:link w:val="TitleChar"/>
    <w:uiPriority w:val="10"/>
    <w:qFormat/>
    <w:rsid w:val="006D4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127"/>
    <w:pPr>
      <w:spacing w:before="160"/>
      <w:jc w:val="center"/>
    </w:pPr>
    <w:rPr>
      <w:i/>
      <w:iCs/>
      <w:color w:val="404040" w:themeColor="text1" w:themeTint="BF"/>
    </w:rPr>
  </w:style>
  <w:style w:type="character" w:customStyle="1" w:styleId="QuoteChar">
    <w:name w:val="Quote Char"/>
    <w:basedOn w:val="DefaultParagraphFont"/>
    <w:link w:val="Quote"/>
    <w:uiPriority w:val="29"/>
    <w:rsid w:val="006D4127"/>
    <w:rPr>
      <w:i/>
      <w:iCs/>
      <w:color w:val="404040" w:themeColor="text1" w:themeTint="BF"/>
    </w:rPr>
  </w:style>
  <w:style w:type="paragraph" w:styleId="ListParagraph">
    <w:name w:val="List Paragraph"/>
    <w:basedOn w:val="Normal"/>
    <w:uiPriority w:val="34"/>
    <w:qFormat/>
    <w:rsid w:val="006D4127"/>
    <w:pPr>
      <w:ind w:left="720"/>
      <w:contextualSpacing/>
    </w:pPr>
  </w:style>
  <w:style w:type="character" w:styleId="IntenseEmphasis">
    <w:name w:val="Intense Emphasis"/>
    <w:basedOn w:val="DefaultParagraphFont"/>
    <w:uiPriority w:val="21"/>
    <w:qFormat/>
    <w:rsid w:val="006D4127"/>
    <w:rPr>
      <w:i/>
      <w:iCs/>
      <w:color w:val="0F4761" w:themeColor="accent1" w:themeShade="BF"/>
    </w:rPr>
  </w:style>
  <w:style w:type="paragraph" w:styleId="IntenseQuote">
    <w:name w:val="Intense Quote"/>
    <w:basedOn w:val="Normal"/>
    <w:next w:val="Normal"/>
    <w:link w:val="IntenseQuoteChar"/>
    <w:uiPriority w:val="30"/>
    <w:qFormat/>
    <w:rsid w:val="006D4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127"/>
    <w:rPr>
      <w:i/>
      <w:iCs/>
      <w:color w:val="0F4761" w:themeColor="accent1" w:themeShade="BF"/>
    </w:rPr>
  </w:style>
  <w:style w:type="character" w:styleId="IntenseReference">
    <w:name w:val="Intense Reference"/>
    <w:basedOn w:val="DefaultParagraphFont"/>
    <w:uiPriority w:val="32"/>
    <w:qFormat/>
    <w:rsid w:val="006D4127"/>
    <w:rPr>
      <w:b/>
      <w:bCs/>
      <w:smallCaps/>
      <w:color w:val="0F4761" w:themeColor="accent1" w:themeShade="BF"/>
      <w:spacing w:val="5"/>
    </w:rPr>
  </w:style>
  <w:style w:type="paragraph" w:styleId="Header">
    <w:name w:val="header"/>
    <w:basedOn w:val="Normal"/>
    <w:link w:val="HeaderChar"/>
    <w:uiPriority w:val="99"/>
    <w:unhideWhenUsed/>
    <w:rsid w:val="006D41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127"/>
  </w:style>
  <w:style w:type="paragraph" w:styleId="Footer">
    <w:name w:val="footer"/>
    <w:basedOn w:val="Normal"/>
    <w:link w:val="FooterChar"/>
    <w:uiPriority w:val="99"/>
    <w:unhideWhenUsed/>
    <w:rsid w:val="006D41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127"/>
  </w:style>
  <w:style w:type="paragraph" w:styleId="NormalWeb">
    <w:name w:val="Normal (Web)"/>
    <w:basedOn w:val="Normal"/>
    <w:uiPriority w:val="99"/>
    <w:unhideWhenUsed/>
    <w:rsid w:val="00B66EBE"/>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527005">
      <w:bodyDiv w:val="1"/>
      <w:marLeft w:val="0"/>
      <w:marRight w:val="0"/>
      <w:marTop w:val="0"/>
      <w:marBottom w:val="0"/>
      <w:divBdr>
        <w:top w:val="none" w:sz="0" w:space="0" w:color="auto"/>
        <w:left w:val="none" w:sz="0" w:space="0" w:color="auto"/>
        <w:bottom w:val="none" w:sz="0" w:space="0" w:color="auto"/>
        <w:right w:val="none" w:sz="0" w:space="0" w:color="auto"/>
      </w:divBdr>
      <w:divsChild>
        <w:div w:id="362444545">
          <w:marLeft w:val="0"/>
          <w:marRight w:val="0"/>
          <w:marTop w:val="0"/>
          <w:marBottom w:val="0"/>
          <w:divBdr>
            <w:top w:val="none" w:sz="0" w:space="0" w:color="auto"/>
            <w:left w:val="none" w:sz="0" w:space="0" w:color="auto"/>
            <w:bottom w:val="none" w:sz="0" w:space="0" w:color="auto"/>
            <w:right w:val="none" w:sz="0" w:space="0" w:color="auto"/>
          </w:divBdr>
        </w:div>
        <w:div w:id="55400786">
          <w:marLeft w:val="0"/>
          <w:marRight w:val="0"/>
          <w:marTop w:val="0"/>
          <w:marBottom w:val="0"/>
          <w:divBdr>
            <w:top w:val="none" w:sz="0" w:space="0" w:color="auto"/>
            <w:left w:val="none" w:sz="0" w:space="0" w:color="auto"/>
            <w:bottom w:val="none" w:sz="0" w:space="0" w:color="auto"/>
            <w:right w:val="none" w:sz="0" w:space="0" w:color="auto"/>
          </w:divBdr>
        </w:div>
        <w:div w:id="1124812641">
          <w:marLeft w:val="0"/>
          <w:marRight w:val="0"/>
          <w:marTop w:val="0"/>
          <w:marBottom w:val="0"/>
          <w:divBdr>
            <w:top w:val="none" w:sz="0" w:space="0" w:color="auto"/>
            <w:left w:val="none" w:sz="0" w:space="0" w:color="auto"/>
            <w:bottom w:val="none" w:sz="0" w:space="0" w:color="auto"/>
            <w:right w:val="none" w:sz="0" w:space="0" w:color="auto"/>
          </w:divBdr>
        </w:div>
        <w:div w:id="1708293881">
          <w:marLeft w:val="0"/>
          <w:marRight w:val="0"/>
          <w:marTop w:val="0"/>
          <w:marBottom w:val="0"/>
          <w:divBdr>
            <w:top w:val="none" w:sz="0" w:space="0" w:color="auto"/>
            <w:left w:val="none" w:sz="0" w:space="0" w:color="auto"/>
            <w:bottom w:val="none" w:sz="0" w:space="0" w:color="auto"/>
            <w:right w:val="none" w:sz="0" w:space="0" w:color="auto"/>
          </w:divBdr>
        </w:div>
        <w:div w:id="1015617325">
          <w:marLeft w:val="0"/>
          <w:marRight w:val="0"/>
          <w:marTop w:val="0"/>
          <w:marBottom w:val="0"/>
          <w:divBdr>
            <w:top w:val="none" w:sz="0" w:space="0" w:color="auto"/>
            <w:left w:val="none" w:sz="0" w:space="0" w:color="auto"/>
            <w:bottom w:val="none" w:sz="0" w:space="0" w:color="auto"/>
            <w:right w:val="none" w:sz="0" w:space="0" w:color="auto"/>
          </w:divBdr>
        </w:div>
        <w:div w:id="597716265">
          <w:marLeft w:val="0"/>
          <w:marRight w:val="0"/>
          <w:marTop w:val="0"/>
          <w:marBottom w:val="0"/>
          <w:divBdr>
            <w:top w:val="none" w:sz="0" w:space="0" w:color="auto"/>
            <w:left w:val="none" w:sz="0" w:space="0" w:color="auto"/>
            <w:bottom w:val="none" w:sz="0" w:space="0" w:color="auto"/>
            <w:right w:val="none" w:sz="0" w:space="0" w:color="auto"/>
          </w:divBdr>
        </w:div>
        <w:div w:id="1445729493">
          <w:marLeft w:val="0"/>
          <w:marRight w:val="0"/>
          <w:marTop w:val="0"/>
          <w:marBottom w:val="0"/>
          <w:divBdr>
            <w:top w:val="none" w:sz="0" w:space="0" w:color="auto"/>
            <w:left w:val="none" w:sz="0" w:space="0" w:color="auto"/>
            <w:bottom w:val="none" w:sz="0" w:space="0" w:color="auto"/>
            <w:right w:val="none" w:sz="0" w:space="0" w:color="auto"/>
          </w:divBdr>
        </w:div>
        <w:div w:id="981352711">
          <w:marLeft w:val="0"/>
          <w:marRight w:val="0"/>
          <w:marTop w:val="0"/>
          <w:marBottom w:val="0"/>
          <w:divBdr>
            <w:top w:val="none" w:sz="0" w:space="0" w:color="auto"/>
            <w:left w:val="none" w:sz="0" w:space="0" w:color="auto"/>
            <w:bottom w:val="none" w:sz="0" w:space="0" w:color="auto"/>
            <w:right w:val="none" w:sz="0" w:space="0" w:color="auto"/>
          </w:divBdr>
        </w:div>
        <w:div w:id="1176574414">
          <w:marLeft w:val="0"/>
          <w:marRight w:val="0"/>
          <w:marTop w:val="0"/>
          <w:marBottom w:val="0"/>
          <w:divBdr>
            <w:top w:val="none" w:sz="0" w:space="0" w:color="auto"/>
            <w:left w:val="none" w:sz="0" w:space="0" w:color="auto"/>
            <w:bottom w:val="none" w:sz="0" w:space="0" w:color="auto"/>
            <w:right w:val="none" w:sz="0" w:space="0" w:color="auto"/>
          </w:divBdr>
        </w:div>
        <w:div w:id="1938710392">
          <w:marLeft w:val="0"/>
          <w:marRight w:val="0"/>
          <w:marTop w:val="0"/>
          <w:marBottom w:val="0"/>
          <w:divBdr>
            <w:top w:val="none" w:sz="0" w:space="0" w:color="auto"/>
            <w:left w:val="none" w:sz="0" w:space="0" w:color="auto"/>
            <w:bottom w:val="none" w:sz="0" w:space="0" w:color="auto"/>
            <w:right w:val="none" w:sz="0" w:space="0" w:color="auto"/>
          </w:divBdr>
        </w:div>
        <w:div w:id="497888588">
          <w:marLeft w:val="0"/>
          <w:marRight w:val="0"/>
          <w:marTop w:val="0"/>
          <w:marBottom w:val="0"/>
          <w:divBdr>
            <w:top w:val="none" w:sz="0" w:space="0" w:color="auto"/>
            <w:left w:val="none" w:sz="0" w:space="0" w:color="auto"/>
            <w:bottom w:val="none" w:sz="0" w:space="0" w:color="auto"/>
            <w:right w:val="none" w:sz="0" w:space="0" w:color="auto"/>
          </w:divBdr>
        </w:div>
        <w:div w:id="1379282049">
          <w:marLeft w:val="0"/>
          <w:marRight w:val="0"/>
          <w:marTop w:val="0"/>
          <w:marBottom w:val="0"/>
          <w:divBdr>
            <w:top w:val="none" w:sz="0" w:space="0" w:color="auto"/>
            <w:left w:val="none" w:sz="0" w:space="0" w:color="auto"/>
            <w:bottom w:val="none" w:sz="0" w:space="0" w:color="auto"/>
            <w:right w:val="none" w:sz="0" w:space="0" w:color="auto"/>
          </w:divBdr>
        </w:div>
        <w:div w:id="1632906966">
          <w:marLeft w:val="0"/>
          <w:marRight w:val="0"/>
          <w:marTop w:val="0"/>
          <w:marBottom w:val="0"/>
          <w:divBdr>
            <w:top w:val="none" w:sz="0" w:space="0" w:color="auto"/>
            <w:left w:val="none" w:sz="0" w:space="0" w:color="auto"/>
            <w:bottom w:val="none" w:sz="0" w:space="0" w:color="auto"/>
            <w:right w:val="none" w:sz="0" w:space="0" w:color="auto"/>
          </w:divBdr>
        </w:div>
        <w:div w:id="1283339085">
          <w:marLeft w:val="0"/>
          <w:marRight w:val="0"/>
          <w:marTop w:val="0"/>
          <w:marBottom w:val="0"/>
          <w:divBdr>
            <w:top w:val="none" w:sz="0" w:space="0" w:color="auto"/>
            <w:left w:val="none" w:sz="0" w:space="0" w:color="auto"/>
            <w:bottom w:val="none" w:sz="0" w:space="0" w:color="auto"/>
            <w:right w:val="none" w:sz="0" w:space="0" w:color="auto"/>
          </w:divBdr>
        </w:div>
        <w:div w:id="821509517">
          <w:marLeft w:val="0"/>
          <w:marRight w:val="0"/>
          <w:marTop w:val="0"/>
          <w:marBottom w:val="0"/>
          <w:divBdr>
            <w:top w:val="none" w:sz="0" w:space="0" w:color="auto"/>
            <w:left w:val="none" w:sz="0" w:space="0" w:color="auto"/>
            <w:bottom w:val="none" w:sz="0" w:space="0" w:color="auto"/>
            <w:right w:val="none" w:sz="0" w:space="0" w:color="auto"/>
          </w:divBdr>
        </w:div>
        <w:div w:id="1618365184">
          <w:marLeft w:val="0"/>
          <w:marRight w:val="0"/>
          <w:marTop w:val="0"/>
          <w:marBottom w:val="0"/>
          <w:divBdr>
            <w:top w:val="none" w:sz="0" w:space="0" w:color="auto"/>
            <w:left w:val="none" w:sz="0" w:space="0" w:color="auto"/>
            <w:bottom w:val="none" w:sz="0" w:space="0" w:color="auto"/>
            <w:right w:val="none" w:sz="0" w:space="0" w:color="auto"/>
          </w:divBdr>
        </w:div>
      </w:divsChild>
    </w:div>
    <w:div w:id="1027488863">
      <w:bodyDiv w:val="1"/>
      <w:marLeft w:val="0"/>
      <w:marRight w:val="0"/>
      <w:marTop w:val="0"/>
      <w:marBottom w:val="0"/>
      <w:divBdr>
        <w:top w:val="none" w:sz="0" w:space="0" w:color="auto"/>
        <w:left w:val="none" w:sz="0" w:space="0" w:color="auto"/>
        <w:bottom w:val="none" w:sz="0" w:space="0" w:color="auto"/>
        <w:right w:val="none" w:sz="0" w:space="0" w:color="auto"/>
      </w:divBdr>
    </w:div>
    <w:div w:id="1339112167">
      <w:bodyDiv w:val="1"/>
      <w:marLeft w:val="0"/>
      <w:marRight w:val="0"/>
      <w:marTop w:val="0"/>
      <w:marBottom w:val="0"/>
      <w:divBdr>
        <w:top w:val="none" w:sz="0" w:space="0" w:color="auto"/>
        <w:left w:val="none" w:sz="0" w:space="0" w:color="auto"/>
        <w:bottom w:val="none" w:sz="0" w:space="0" w:color="auto"/>
        <w:right w:val="none" w:sz="0" w:space="0" w:color="auto"/>
      </w:divBdr>
    </w:div>
    <w:div w:id="1716005274">
      <w:bodyDiv w:val="1"/>
      <w:marLeft w:val="0"/>
      <w:marRight w:val="0"/>
      <w:marTop w:val="0"/>
      <w:marBottom w:val="0"/>
      <w:divBdr>
        <w:top w:val="none" w:sz="0" w:space="0" w:color="auto"/>
        <w:left w:val="none" w:sz="0" w:space="0" w:color="auto"/>
        <w:bottom w:val="none" w:sz="0" w:space="0" w:color="auto"/>
        <w:right w:val="none" w:sz="0" w:space="0" w:color="auto"/>
      </w:divBdr>
      <w:divsChild>
        <w:div w:id="780103492">
          <w:marLeft w:val="0"/>
          <w:marRight w:val="0"/>
          <w:marTop w:val="0"/>
          <w:marBottom w:val="0"/>
          <w:divBdr>
            <w:top w:val="none" w:sz="0" w:space="0" w:color="auto"/>
            <w:left w:val="none" w:sz="0" w:space="0" w:color="auto"/>
            <w:bottom w:val="none" w:sz="0" w:space="0" w:color="auto"/>
            <w:right w:val="none" w:sz="0" w:space="0" w:color="auto"/>
          </w:divBdr>
        </w:div>
        <w:div w:id="869993002">
          <w:marLeft w:val="0"/>
          <w:marRight w:val="0"/>
          <w:marTop w:val="0"/>
          <w:marBottom w:val="0"/>
          <w:divBdr>
            <w:top w:val="none" w:sz="0" w:space="0" w:color="auto"/>
            <w:left w:val="none" w:sz="0" w:space="0" w:color="auto"/>
            <w:bottom w:val="none" w:sz="0" w:space="0" w:color="auto"/>
            <w:right w:val="none" w:sz="0" w:space="0" w:color="auto"/>
          </w:divBdr>
        </w:div>
        <w:div w:id="2059278579">
          <w:marLeft w:val="0"/>
          <w:marRight w:val="0"/>
          <w:marTop w:val="0"/>
          <w:marBottom w:val="0"/>
          <w:divBdr>
            <w:top w:val="none" w:sz="0" w:space="0" w:color="auto"/>
            <w:left w:val="none" w:sz="0" w:space="0" w:color="auto"/>
            <w:bottom w:val="none" w:sz="0" w:space="0" w:color="auto"/>
            <w:right w:val="none" w:sz="0" w:space="0" w:color="auto"/>
          </w:divBdr>
        </w:div>
        <w:div w:id="598148361">
          <w:marLeft w:val="0"/>
          <w:marRight w:val="0"/>
          <w:marTop w:val="0"/>
          <w:marBottom w:val="0"/>
          <w:divBdr>
            <w:top w:val="none" w:sz="0" w:space="0" w:color="auto"/>
            <w:left w:val="none" w:sz="0" w:space="0" w:color="auto"/>
            <w:bottom w:val="none" w:sz="0" w:space="0" w:color="auto"/>
            <w:right w:val="none" w:sz="0" w:space="0" w:color="auto"/>
          </w:divBdr>
        </w:div>
        <w:div w:id="1057557312">
          <w:marLeft w:val="0"/>
          <w:marRight w:val="0"/>
          <w:marTop w:val="0"/>
          <w:marBottom w:val="0"/>
          <w:divBdr>
            <w:top w:val="none" w:sz="0" w:space="0" w:color="auto"/>
            <w:left w:val="none" w:sz="0" w:space="0" w:color="auto"/>
            <w:bottom w:val="none" w:sz="0" w:space="0" w:color="auto"/>
            <w:right w:val="none" w:sz="0" w:space="0" w:color="auto"/>
          </w:divBdr>
        </w:div>
        <w:div w:id="442923036">
          <w:marLeft w:val="0"/>
          <w:marRight w:val="0"/>
          <w:marTop w:val="0"/>
          <w:marBottom w:val="0"/>
          <w:divBdr>
            <w:top w:val="none" w:sz="0" w:space="0" w:color="auto"/>
            <w:left w:val="none" w:sz="0" w:space="0" w:color="auto"/>
            <w:bottom w:val="none" w:sz="0" w:space="0" w:color="auto"/>
            <w:right w:val="none" w:sz="0" w:space="0" w:color="auto"/>
          </w:divBdr>
        </w:div>
        <w:div w:id="1919247704">
          <w:marLeft w:val="0"/>
          <w:marRight w:val="0"/>
          <w:marTop w:val="0"/>
          <w:marBottom w:val="0"/>
          <w:divBdr>
            <w:top w:val="none" w:sz="0" w:space="0" w:color="auto"/>
            <w:left w:val="none" w:sz="0" w:space="0" w:color="auto"/>
            <w:bottom w:val="none" w:sz="0" w:space="0" w:color="auto"/>
            <w:right w:val="none" w:sz="0" w:space="0" w:color="auto"/>
          </w:divBdr>
        </w:div>
        <w:div w:id="116947413">
          <w:marLeft w:val="0"/>
          <w:marRight w:val="0"/>
          <w:marTop w:val="0"/>
          <w:marBottom w:val="0"/>
          <w:divBdr>
            <w:top w:val="none" w:sz="0" w:space="0" w:color="auto"/>
            <w:left w:val="none" w:sz="0" w:space="0" w:color="auto"/>
            <w:bottom w:val="none" w:sz="0" w:space="0" w:color="auto"/>
            <w:right w:val="none" w:sz="0" w:space="0" w:color="auto"/>
          </w:divBdr>
        </w:div>
        <w:div w:id="468473358">
          <w:marLeft w:val="0"/>
          <w:marRight w:val="0"/>
          <w:marTop w:val="0"/>
          <w:marBottom w:val="0"/>
          <w:divBdr>
            <w:top w:val="none" w:sz="0" w:space="0" w:color="auto"/>
            <w:left w:val="none" w:sz="0" w:space="0" w:color="auto"/>
            <w:bottom w:val="none" w:sz="0" w:space="0" w:color="auto"/>
            <w:right w:val="none" w:sz="0" w:space="0" w:color="auto"/>
          </w:divBdr>
        </w:div>
        <w:div w:id="19746403">
          <w:marLeft w:val="0"/>
          <w:marRight w:val="0"/>
          <w:marTop w:val="0"/>
          <w:marBottom w:val="0"/>
          <w:divBdr>
            <w:top w:val="none" w:sz="0" w:space="0" w:color="auto"/>
            <w:left w:val="none" w:sz="0" w:space="0" w:color="auto"/>
            <w:bottom w:val="none" w:sz="0" w:space="0" w:color="auto"/>
            <w:right w:val="none" w:sz="0" w:space="0" w:color="auto"/>
          </w:divBdr>
        </w:div>
        <w:div w:id="1079866385">
          <w:marLeft w:val="0"/>
          <w:marRight w:val="0"/>
          <w:marTop w:val="0"/>
          <w:marBottom w:val="0"/>
          <w:divBdr>
            <w:top w:val="none" w:sz="0" w:space="0" w:color="auto"/>
            <w:left w:val="none" w:sz="0" w:space="0" w:color="auto"/>
            <w:bottom w:val="none" w:sz="0" w:space="0" w:color="auto"/>
            <w:right w:val="none" w:sz="0" w:space="0" w:color="auto"/>
          </w:divBdr>
        </w:div>
        <w:div w:id="1453596716">
          <w:marLeft w:val="0"/>
          <w:marRight w:val="0"/>
          <w:marTop w:val="0"/>
          <w:marBottom w:val="0"/>
          <w:divBdr>
            <w:top w:val="none" w:sz="0" w:space="0" w:color="auto"/>
            <w:left w:val="none" w:sz="0" w:space="0" w:color="auto"/>
            <w:bottom w:val="none" w:sz="0" w:space="0" w:color="auto"/>
            <w:right w:val="none" w:sz="0" w:space="0" w:color="auto"/>
          </w:divBdr>
        </w:div>
        <w:div w:id="1512647882">
          <w:marLeft w:val="0"/>
          <w:marRight w:val="0"/>
          <w:marTop w:val="0"/>
          <w:marBottom w:val="0"/>
          <w:divBdr>
            <w:top w:val="none" w:sz="0" w:space="0" w:color="auto"/>
            <w:left w:val="none" w:sz="0" w:space="0" w:color="auto"/>
            <w:bottom w:val="none" w:sz="0" w:space="0" w:color="auto"/>
            <w:right w:val="none" w:sz="0" w:space="0" w:color="auto"/>
          </w:divBdr>
        </w:div>
        <w:div w:id="1631132786">
          <w:marLeft w:val="0"/>
          <w:marRight w:val="0"/>
          <w:marTop w:val="0"/>
          <w:marBottom w:val="0"/>
          <w:divBdr>
            <w:top w:val="none" w:sz="0" w:space="0" w:color="auto"/>
            <w:left w:val="none" w:sz="0" w:space="0" w:color="auto"/>
            <w:bottom w:val="none" w:sz="0" w:space="0" w:color="auto"/>
            <w:right w:val="none" w:sz="0" w:space="0" w:color="auto"/>
          </w:divBdr>
        </w:div>
        <w:div w:id="1597711625">
          <w:marLeft w:val="0"/>
          <w:marRight w:val="0"/>
          <w:marTop w:val="0"/>
          <w:marBottom w:val="0"/>
          <w:divBdr>
            <w:top w:val="none" w:sz="0" w:space="0" w:color="auto"/>
            <w:left w:val="none" w:sz="0" w:space="0" w:color="auto"/>
            <w:bottom w:val="none" w:sz="0" w:space="0" w:color="auto"/>
            <w:right w:val="none" w:sz="0" w:space="0" w:color="auto"/>
          </w:divBdr>
        </w:div>
        <w:div w:id="1277564686">
          <w:marLeft w:val="0"/>
          <w:marRight w:val="0"/>
          <w:marTop w:val="0"/>
          <w:marBottom w:val="0"/>
          <w:divBdr>
            <w:top w:val="none" w:sz="0" w:space="0" w:color="auto"/>
            <w:left w:val="none" w:sz="0" w:space="0" w:color="auto"/>
            <w:bottom w:val="none" w:sz="0" w:space="0" w:color="auto"/>
            <w:right w:val="none" w:sz="0" w:space="0" w:color="auto"/>
          </w:divBdr>
        </w:div>
      </w:divsChild>
    </w:div>
    <w:div w:id="1921284032">
      <w:bodyDiv w:val="1"/>
      <w:marLeft w:val="0"/>
      <w:marRight w:val="0"/>
      <w:marTop w:val="0"/>
      <w:marBottom w:val="0"/>
      <w:divBdr>
        <w:top w:val="none" w:sz="0" w:space="0" w:color="auto"/>
        <w:left w:val="none" w:sz="0" w:space="0" w:color="auto"/>
        <w:bottom w:val="none" w:sz="0" w:space="0" w:color="auto"/>
        <w:right w:val="none" w:sz="0" w:space="0" w:color="auto"/>
      </w:divBdr>
      <w:divsChild>
        <w:div w:id="475142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https://partnersforinclusion.sharepoint.com/sites/FinanceandPeople-Finance/Shared%20Documents/Finance/PFI%202025-2026/Gender%20Pay%20Gap%202025-2026/Gross%20To%20Net%20April%20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GB"/>
              <a:t>Gender Distribution per Pay Quartile  %</a:t>
            </a:r>
          </a:p>
        </c:rich>
      </c:tx>
      <c:layout>
        <c:manualLayout>
          <c:xMode val="edge"/>
          <c:yMode val="edge"/>
          <c:x val="0.14899864128210585"/>
          <c:y val="1.0635627068355629E-4"/>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Calculation!$D$31</c:f>
              <c:strCache>
                <c:ptCount val="1"/>
                <c:pt idx="0">
                  <c:v>Males</c:v>
                </c:pt>
              </c:strCache>
            </c:strRef>
          </c:tx>
          <c:spPr>
            <a:solidFill>
              <a:schemeClr val="tx2">
                <a:lumMod val="75000"/>
                <a:lumOff val="25000"/>
              </a:schemeClr>
            </a:solidFill>
            <a:ln>
              <a:noFill/>
            </a:ln>
            <a:effectLst>
              <a:outerShdw blurRad="57150" dist="19050" dir="5400000" algn="ctr" rotWithShape="0">
                <a:srgbClr val="000000">
                  <a:alpha val="63000"/>
                </a:srgbClr>
              </a:outerShdw>
            </a:effectLst>
          </c:spPr>
          <c:invertIfNegative val="0"/>
          <c:cat>
            <c:strRef>
              <c:f>Calculation!$C$32:$C$35</c:f>
              <c:strCache>
                <c:ptCount val="4"/>
                <c:pt idx="0">
                  <c:v>Lower hr rate</c:v>
                </c:pt>
                <c:pt idx="1">
                  <c:v>Lower middle</c:v>
                </c:pt>
                <c:pt idx="2">
                  <c:v>Upper middle</c:v>
                </c:pt>
                <c:pt idx="3">
                  <c:v>Upper hr rate</c:v>
                </c:pt>
              </c:strCache>
            </c:strRef>
          </c:cat>
          <c:val>
            <c:numRef>
              <c:f>Calculation!$D$32:$D$35</c:f>
              <c:numCache>
                <c:formatCode>0%</c:formatCode>
                <c:ptCount val="4"/>
                <c:pt idx="0">
                  <c:v>0.36363636363636365</c:v>
                </c:pt>
                <c:pt idx="1">
                  <c:v>0.4358974358974359</c:v>
                </c:pt>
                <c:pt idx="2">
                  <c:v>0.46753246753246752</c:v>
                </c:pt>
                <c:pt idx="3">
                  <c:v>0.41558441558441561</c:v>
                </c:pt>
              </c:numCache>
            </c:numRef>
          </c:val>
          <c:extLst>
            <c:ext xmlns:c16="http://schemas.microsoft.com/office/drawing/2014/chart" uri="{C3380CC4-5D6E-409C-BE32-E72D297353CC}">
              <c16:uniqueId val="{00000000-5A02-407E-8138-385755BBCDE2}"/>
            </c:ext>
          </c:extLst>
        </c:ser>
        <c:ser>
          <c:idx val="1"/>
          <c:order val="1"/>
          <c:tx>
            <c:strRef>
              <c:f>Calculation!$E$31</c:f>
              <c:strCache>
                <c:ptCount val="1"/>
                <c:pt idx="0">
                  <c:v>Females</c:v>
                </c:pt>
              </c:strCache>
            </c:strRef>
          </c:tx>
          <c:spPr>
            <a:solidFill>
              <a:schemeClr val="accent5">
                <a:lumMod val="75000"/>
              </a:schemeClr>
            </a:solidFill>
            <a:ln>
              <a:noFill/>
            </a:ln>
            <a:effectLst>
              <a:outerShdw blurRad="57150" dist="19050" dir="5400000" algn="ctr" rotWithShape="0">
                <a:srgbClr val="000000">
                  <a:alpha val="63000"/>
                </a:srgbClr>
              </a:outerShdw>
            </a:effectLst>
          </c:spPr>
          <c:invertIfNegative val="0"/>
          <c:cat>
            <c:strRef>
              <c:f>Calculation!$C$32:$C$35</c:f>
              <c:strCache>
                <c:ptCount val="4"/>
                <c:pt idx="0">
                  <c:v>Lower hr rate</c:v>
                </c:pt>
                <c:pt idx="1">
                  <c:v>Lower middle</c:v>
                </c:pt>
                <c:pt idx="2">
                  <c:v>Upper middle</c:v>
                </c:pt>
                <c:pt idx="3">
                  <c:v>Upper hr rate</c:v>
                </c:pt>
              </c:strCache>
            </c:strRef>
          </c:cat>
          <c:val>
            <c:numRef>
              <c:f>Calculation!$E$32:$E$35</c:f>
              <c:numCache>
                <c:formatCode>0%</c:formatCode>
                <c:ptCount val="4"/>
                <c:pt idx="0">
                  <c:v>0.63636363636363635</c:v>
                </c:pt>
                <c:pt idx="1">
                  <c:v>0.5641025641025641</c:v>
                </c:pt>
                <c:pt idx="2">
                  <c:v>0.53246753246753242</c:v>
                </c:pt>
                <c:pt idx="3">
                  <c:v>0.58441558441558439</c:v>
                </c:pt>
              </c:numCache>
            </c:numRef>
          </c:val>
          <c:extLst>
            <c:ext xmlns:c16="http://schemas.microsoft.com/office/drawing/2014/chart" uri="{C3380CC4-5D6E-409C-BE32-E72D297353CC}">
              <c16:uniqueId val="{00000001-5A02-407E-8138-385755BBCDE2}"/>
            </c:ext>
          </c:extLst>
        </c:ser>
        <c:dLbls>
          <c:showLegendKey val="0"/>
          <c:showVal val="0"/>
          <c:showCatName val="0"/>
          <c:showSerName val="0"/>
          <c:showPercent val="0"/>
          <c:showBubbleSize val="0"/>
        </c:dLbls>
        <c:gapWidth val="160"/>
        <c:overlap val="-24"/>
        <c:axId val="205977168"/>
        <c:axId val="205967568"/>
      </c:barChart>
      <c:catAx>
        <c:axId val="2059771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967568"/>
        <c:crosses val="autoZero"/>
        <c:auto val="1"/>
        <c:lblAlgn val="ctr"/>
        <c:lblOffset val="100"/>
        <c:noMultiLvlLbl val="0"/>
      </c:catAx>
      <c:valAx>
        <c:axId val="2059675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977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E5998D36AED041B15423C377BADDB3" ma:contentTypeVersion="15" ma:contentTypeDescription="Create a new document." ma:contentTypeScope="" ma:versionID="218c11b46ac2887d2be9f0c062cb512b">
  <xsd:schema xmlns:xsd="http://www.w3.org/2001/XMLSchema" xmlns:xs="http://www.w3.org/2001/XMLSchema" xmlns:p="http://schemas.microsoft.com/office/2006/metadata/properties" xmlns:ns2="7bbc7697-d04d-4b81-99ad-ea9e71d8da0c" xmlns:ns3="dd5492ec-aaaa-4ad1-97dc-77b4aa0e2751" targetNamespace="http://schemas.microsoft.com/office/2006/metadata/properties" ma:root="true" ma:fieldsID="766dcf21f8aeb61900b1dd650974287a" ns2:_="" ns3:_="">
    <xsd:import namespace="7bbc7697-d04d-4b81-99ad-ea9e71d8da0c"/>
    <xsd:import namespace="dd5492ec-aaaa-4ad1-97dc-77b4aa0e27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7697-d04d-4b81-99ad-ea9e71d8d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a6b70e0-0fd1-497d-a186-fedf8c43e4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5492ec-aaaa-4ad1-97dc-77b4aa0e27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bc7697-d04d-4b81-99ad-ea9e71d8da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C94CE3-8886-4260-A2AF-9FEF5891D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7697-d04d-4b81-99ad-ea9e71d8da0c"/>
    <ds:schemaRef ds:uri="dd5492ec-aaaa-4ad1-97dc-77b4aa0e2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6D0A8E-AD79-422E-B378-5230A7EDE149}">
  <ds:schemaRefs>
    <ds:schemaRef ds:uri="http://schemas.microsoft.com/office/2006/metadata/properties"/>
    <ds:schemaRef ds:uri="http://schemas.microsoft.com/office/infopath/2007/PartnerControls"/>
    <ds:schemaRef ds:uri="7bbc7697-d04d-4b81-99ad-ea9e71d8da0c"/>
  </ds:schemaRefs>
</ds:datastoreItem>
</file>

<file path=customXml/itemProps3.xml><?xml version="1.0" encoding="utf-8"?>
<ds:datastoreItem xmlns:ds="http://schemas.openxmlformats.org/officeDocument/2006/customXml" ds:itemID="{EA335665-EA27-46BB-AB97-0764B07105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1602</Words>
  <Characters>7374</Characters>
  <Application>Microsoft Office Word</Application>
  <DocSecurity>0</DocSecurity>
  <Lines>433</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Chikurira (PFI)</dc:creator>
  <cp:keywords/>
  <dc:description/>
  <cp:lastModifiedBy>Gamal Haddou (PFI)</cp:lastModifiedBy>
  <cp:revision>31</cp:revision>
  <dcterms:created xsi:type="dcterms:W3CDTF">2026-04-20T14:05:00Z</dcterms:created>
  <dcterms:modified xsi:type="dcterms:W3CDTF">2026-04-20T14:56:00Z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0x010100DDE5998D36AED041B15423C377BADDB3</vt:lpwstr>
  </property>
  <property fmtid="{D5CDD505-2E9C-101B-9397-08002B2CF9AE}" pid="3" name="MediaServiceImageTags">
    <vt:lpwstr/>
  </property>
  <property fmtid="{D5CDD505-2E9C-101B-9397-08002B2CF9AE}" pid="4" name="docLang">
    <vt:lpwstr>en</vt:lpwstr>
  </property>
</Properties>
</file>